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AA" w:rsidRDefault="009C0DAA" w:rsidP="009C0DAA">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Adopted: </w:t>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p>
    <w:p w:rsidR="009C0DAA" w:rsidRDefault="009C0DAA" w:rsidP="009C0DAA">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Revised:  </w:t>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r>
        <w:rPr>
          <w:rFonts w:ascii="Times New Roman" w:eastAsia="Calibri" w:hAnsi="Times New Roman" w:cs="Times New Roman"/>
          <w:sz w:val="24"/>
          <w:u w:val="single"/>
        </w:rPr>
        <w:tab/>
      </w:r>
    </w:p>
    <w:p w:rsidR="009C0DAA" w:rsidRDefault="009C0DAA" w:rsidP="009C0DAA">
      <w:pPr>
        <w:spacing w:after="0"/>
        <w:jc w:val="both"/>
        <w:rPr>
          <w:rFonts w:ascii="Times New Roman" w:eastAsia="Calibri" w:hAnsi="Times New Roman" w:cs="Times New Roman"/>
          <w:sz w:val="24"/>
        </w:rPr>
      </w:pPr>
    </w:p>
    <w:p w:rsidR="009C0DAA" w:rsidRDefault="0044265D" w:rsidP="009C0DAA">
      <w:pPr>
        <w:spacing w:after="0"/>
        <w:jc w:val="center"/>
        <w:rPr>
          <w:rFonts w:ascii="Times New Roman" w:eastAsia="Calibri" w:hAnsi="Times New Roman" w:cs="Times New Roman"/>
          <w:b/>
          <w:sz w:val="28"/>
        </w:rPr>
      </w:pPr>
      <w:r>
        <w:rPr>
          <w:rFonts w:ascii="Times New Roman" w:eastAsia="Calibri" w:hAnsi="Times New Roman" w:cs="Times New Roman"/>
          <w:b/>
          <w:sz w:val="28"/>
          <w:szCs w:val="24"/>
        </w:rPr>
        <w:t>WATERSHED HIGH SCHOOL</w:t>
      </w:r>
      <w:r w:rsidR="009C0DAA">
        <w:rPr>
          <w:rFonts w:ascii="Times New Roman" w:eastAsia="Calibri" w:hAnsi="Times New Roman" w:cs="Times New Roman"/>
          <w:b/>
          <w:sz w:val="28"/>
        </w:rPr>
        <w:t xml:space="preserve"> POLICY No. 8.1</w:t>
      </w:r>
    </w:p>
    <w:p w:rsidR="009C0DAA" w:rsidRDefault="009C0DAA" w:rsidP="009C0DAA">
      <w:pPr>
        <w:spacing w:after="0"/>
        <w:jc w:val="center"/>
        <w:rPr>
          <w:rFonts w:ascii="Times New Roman" w:eastAsia="Calibri" w:hAnsi="Times New Roman" w:cs="Times New Roman"/>
          <w:b/>
          <w:sz w:val="28"/>
        </w:rPr>
      </w:pPr>
      <w:r>
        <w:rPr>
          <w:rFonts w:ascii="Times New Roman" w:eastAsia="Calibri" w:hAnsi="Times New Roman" w:cs="Times New Roman"/>
          <w:b/>
          <w:sz w:val="28"/>
        </w:rPr>
        <w:t>DISSOLUTION AND CLOSURE</w:t>
      </w:r>
    </w:p>
    <w:p w:rsidR="009C0DAA" w:rsidRDefault="009C0DAA" w:rsidP="009C0DAA">
      <w:pPr>
        <w:numPr>
          <w:ilvl w:val="0"/>
          <w:numId w:val="1"/>
        </w:numPr>
        <w:spacing w:before="360" w:line="23" w:lineRule="atLeast"/>
        <w:ind w:left="720" w:hanging="720"/>
        <w:jc w:val="both"/>
        <w:rPr>
          <w:rFonts w:ascii="Times New Roman" w:hAnsi="Times New Roman" w:cs="Times New Roman"/>
          <w:b/>
          <w:sz w:val="24"/>
          <w:szCs w:val="24"/>
        </w:rPr>
      </w:pPr>
      <w:r>
        <w:rPr>
          <w:rFonts w:ascii="Times New Roman" w:hAnsi="Times New Roman" w:cs="Times New Roman"/>
          <w:b/>
          <w:sz w:val="24"/>
          <w:szCs w:val="24"/>
        </w:rPr>
        <w:t>PURPOSE</w:t>
      </w:r>
    </w:p>
    <w:p w:rsidR="009C0DAA" w:rsidRDefault="009C0DAA" w:rsidP="009C0DAA">
      <w:pPr>
        <w:spacing w:line="23"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policy is to establish the processes that will be followed in the event the school must be closed and the Board dissolved. </w:t>
      </w:r>
    </w:p>
    <w:p w:rsidR="009C0DAA" w:rsidRPr="009C0DAA" w:rsidRDefault="009C0DAA" w:rsidP="009C0DAA">
      <w:pPr>
        <w:pStyle w:val="ListParagraph"/>
        <w:numPr>
          <w:ilvl w:val="0"/>
          <w:numId w:val="1"/>
        </w:numPr>
        <w:spacing w:line="23" w:lineRule="atLeast"/>
        <w:ind w:left="720" w:hanging="720"/>
        <w:jc w:val="both"/>
        <w:rPr>
          <w:rFonts w:ascii="Times New Roman" w:hAnsi="Times New Roman" w:cs="Times New Roman"/>
          <w:b/>
          <w:sz w:val="24"/>
          <w:szCs w:val="24"/>
        </w:rPr>
      </w:pPr>
      <w:r w:rsidRPr="009C0DAA">
        <w:rPr>
          <w:rFonts w:ascii="Times New Roman" w:hAnsi="Times New Roman" w:cs="Times New Roman"/>
          <w:b/>
          <w:sz w:val="24"/>
          <w:szCs w:val="24"/>
        </w:rPr>
        <w:t xml:space="preserve">POLICY STATEMENT </w:t>
      </w:r>
    </w:p>
    <w:p w:rsidR="009C0DAA" w:rsidRDefault="009C0DAA" w:rsidP="009C0DAA">
      <w:pPr>
        <w:spacing w:line="23"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It is the policy of </w:t>
      </w:r>
      <w:r w:rsidR="0044265D">
        <w:rPr>
          <w:rFonts w:ascii="Times New Roman" w:hAnsi="Times New Roman" w:cs="Times New Roman"/>
          <w:sz w:val="24"/>
          <w:szCs w:val="24"/>
        </w:rPr>
        <w:t>WATERSHED HIGH SCHOOL</w:t>
      </w:r>
      <w:r>
        <w:rPr>
          <w:rFonts w:ascii="Times New Roman" w:hAnsi="Times New Roman" w:cs="Times New Roman"/>
          <w:sz w:val="24"/>
          <w:szCs w:val="24"/>
        </w:rPr>
        <w:t xml:space="preserve"> to comply with state law and the school’s contract with its authorizer in the event that the school must be closed and the Board dissolved. </w:t>
      </w:r>
      <w:bookmarkStart w:id="0" w:name="_GoBack"/>
      <w:bookmarkEnd w:id="0"/>
    </w:p>
    <w:p w:rsidR="009C0DAA" w:rsidRDefault="009C0DAA" w:rsidP="009C0DAA">
      <w:pPr>
        <w:spacing w:line="23" w:lineRule="atLeast"/>
        <w:jc w:val="both"/>
        <w:rPr>
          <w:rFonts w:ascii="Times New Roman" w:hAnsi="Times New Roman" w:cs="Times New Roman"/>
          <w:b/>
          <w:i/>
          <w:sz w:val="24"/>
          <w:szCs w:val="24"/>
        </w:rPr>
      </w:pPr>
    </w:p>
    <w:p w:rsidR="003E168B" w:rsidRPr="00B01488" w:rsidRDefault="00B01488" w:rsidP="00B01488">
      <w:pPr>
        <w:pStyle w:val="ListParagraph"/>
        <w:numPr>
          <w:ilvl w:val="0"/>
          <w:numId w:val="1"/>
        </w:numPr>
        <w:spacing w:line="23" w:lineRule="atLeast"/>
        <w:ind w:left="720" w:hanging="720"/>
        <w:jc w:val="both"/>
        <w:rPr>
          <w:rFonts w:ascii="Times New Roman" w:hAnsi="Times New Roman" w:cs="Times New Roman"/>
          <w:b/>
          <w:sz w:val="24"/>
          <w:szCs w:val="24"/>
        </w:rPr>
      </w:pPr>
      <w:r w:rsidRPr="00B01488">
        <w:rPr>
          <w:rFonts w:ascii="Times New Roman" w:hAnsi="Times New Roman" w:cs="Times New Roman"/>
          <w:b/>
          <w:sz w:val="24"/>
          <w:szCs w:val="24"/>
        </w:rPr>
        <w:t>NOTICE OF INTENT TO DISSOLVE AND DESIGNATION OF WIND UP COMMITTEE</w:t>
      </w:r>
    </w:p>
    <w:p w:rsidR="00B01488" w:rsidRDefault="00B01488" w:rsidP="003E168B">
      <w:pPr>
        <w:pStyle w:val="ListParagraph"/>
        <w:spacing w:line="23" w:lineRule="atLeast"/>
        <w:ind w:left="360"/>
        <w:jc w:val="both"/>
        <w:rPr>
          <w:rFonts w:ascii="Times New Roman" w:hAnsi="Times New Roman" w:cs="Times New Roman"/>
          <w:i/>
          <w:sz w:val="24"/>
          <w:szCs w:val="24"/>
        </w:rPr>
      </w:pPr>
    </w:p>
    <w:p w:rsidR="003E168B" w:rsidRDefault="003E168B" w:rsidP="003E168B">
      <w:pPr>
        <w:pStyle w:val="ListParagraph"/>
        <w:spacing w:line="23" w:lineRule="atLeast"/>
        <w:ind w:left="360"/>
        <w:jc w:val="both"/>
        <w:rPr>
          <w:rFonts w:ascii="Times New Roman" w:hAnsi="Times New Roman" w:cs="Times New Roman"/>
          <w:b/>
          <w:sz w:val="24"/>
          <w:szCs w:val="24"/>
        </w:rPr>
      </w:pPr>
    </w:p>
    <w:p w:rsidR="003E168B" w:rsidRDefault="003E168B" w:rsidP="0070668A">
      <w:pPr>
        <w:pStyle w:val="ListParagraph"/>
        <w:numPr>
          <w:ilvl w:val="0"/>
          <w:numId w:val="11"/>
        </w:numPr>
        <w:spacing w:line="23" w:lineRule="atLeast"/>
        <w:ind w:left="1620" w:hanging="810"/>
        <w:jc w:val="both"/>
        <w:rPr>
          <w:rFonts w:ascii="Times New Roman" w:hAnsi="Times New Roman" w:cs="Times New Roman"/>
          <w:b/>
          <w:sz w:val="24"/>
          <w:szCs w:val="24"/>
        </w:rPr>
      </w:pPr>
      <w:r>
        <w:rPr>
          <w:rFonts w:ascii="Times New Roman" w:hAnsi="Times New Roman" w:cs="Times New Roman"/>
          <w:b/>
          <w:sz w:val="24"/>
          <w:szCs w:val="24"/>
        </w:rPr>
        <w:t xml:space="preserve">Meeting to declare Notice of Intent to Dissolve and Designating </w:t>
      </w:r>
      <w:r w:rsidR="004F2E0A">
        <w:rPr>
          <w:rFonts w:ascii="Times New Roman" w:hAnsi="Times New Roman" w:cs="Times New Roman"/>
          <w:b/>
          <w:sz w:val="24"/>
          <w:szCs w:val="24"/>
        </w:rPr>
        <w:t xml:space="preserve">Wind </w:t>
      </w:r>
      <w:proofErr w:type="gramStart"/>
      <w:r w:rsidR="007D19AD">
        <w:rPr>
          <w:rFonts w:ascii="Times New Roman" w:hAnsi="Times New Roman" w:cs="Times New Roman"/>
          <w:b/>
          <w:sz w:val="24"/>
          <w:szCs w:val="24"/>
        </w:rPr>
        <w:t>Up</w:t>
      </w:r>
      <w:proofErr w:type="gramEnd"/>
      <w:r w:rsidR="007D19AD">
        <w:rPr>
          <w:rFonts w:ascii="Times New Roman" w:hAnsi="Times New Roman" w:cs="Times New Roman"/>
          <w:b/>
          <w:sz w:val="24"/>
          <w:szCs w:val="24"/>
        </w:rPr>
        <w:t xml:space="preserve"> </w:t>
      </w:r>
      <w:r>
        <w:rPr>
          <w:rFonts w:ascii="Times New Roman" w:hAnsi="Times New Roman" w:cs="Times New Roman"/>
          <w:b/>
          <w:sz w:val="24"/>
          <w:szCs w:val="24"/>
        </w:rPr>
        <w:t>Committee.</w:t>
      </w:r>
    </w:p>
    <w:p w:rsidR="00E223CD" w:rsidRDefault="00E223CD" w:rsidP="00E223CD">
      <w:pPr>
        <w:pStyle w:val="ListParagraph"/>
        <w:spacing w:line="23" w:lineRule="atLeast"/>
        <w:jc w:val="both"/>
        <w:rPr>
          <w:rFonts w:ascii="Times New Roman" w:hAnsi="Times New Roman" w:cs="Times New Roman"/>
          <w:b/>
          <w:sz w:val="24"/>
          <w:szCs w:val="24"/>
        </w:rPr>
      </w:pPr>
    </w:p>
    <w:p w:rsidR="002B07F7" w:rsidRDefault="00B01488" w:rsidP="00135D9B">
      <w:pPr>
        <w:ind w:left="2250" w:hanging="720"/>
        <w:rPr>
          <w:rFonts w:ascii="Times New Roman" w:hAnsi="Times New Roman" w:cs="Times New Roman"/>
          <w:sz w:val="24"/>
          <w:szCs w:val="24"/>
        </w:rPr>
      </w:pPr>
      <w:r w:rsidRPr="004F2E0A">
        <w:rPr>
          <w:rFonts w:ascii="Times New Roman" w:hAnsi="Times New Roman" w:cs="Times New Roman"/>
          <w:b/>
          <w:sz w:val="24"/>
          <w:szCs w:val="24"/>
        </w:rPr>
        <w:t>1</w:t>
      </w:r>
      <w:r>
        <w:rPr>
          <w:rFonts w:ascii="Times New Roman" w:hAnsi="Times New Roman" w:cs="Times New Roman"/>
          <w:sz w:val="24"/>
          <w:szCs w:val="24"/>
        </w:rPr>
        <w:t xml:space="preserve">. </w:t>
      </w:r>
      <w:r w:rsidR="00135D9B">
        <w:rPr>
          <w:rFonts w:ascii="Times New Roman" w:hAnsi="Times New Roman" w:cs="Times New Roman"/>
          <w:sz w:val="24"/>
          <w:szCs w:val="24"/>
        </w:rPr>
        <w:tab/>
      </w:r>
      <w:r w:rsidRPr="00B01488">
        <w:rPr>
          <w:rFonts w:ascii="Times New Roman" w:hAnsi="Times New Roman" w:cs="Times New Roman"/>
          <w:b/>
          <w:sz w:val="24"/>
          <w:szCs w:val="24"/>
        </w:rPr>
        <w:t>Resolution of Notice of Intent to Dissolve.</w:t>
      </w:r>
      <w:r>
        <w:rPr>
          <w:rFonts w:ascii="Times New Roman" w:hAnsi="Times New Roman" w:cs="Times New Roman"/>
          <w:sz w:val="24"/>
          <w:szCs w:val="24"/>
        </w:rPr>
        <w:t xml:space="preserve">  </w:t>
      </w:r>
      <w:r w:rsidR="003E168B" w:rsidRPr="003E168B">
        <w:rPr>
          <w:rFonts w:ascii="Times New Roman" w:hAnsi="Times New Roman" w:cs="Times New Roman"/>
          <w:sz w:val="24"/>
          <w:szCs w:val="24"/>
        </w:rPr>
        <w:t xml:space="preserve">As soon as practical after the Board has been notified that the dissolution and closure process must be commenced, the Board will meet to consider and vote on a motion to dissolve.  </w:t>
      </w:r>
      <w:r w:rsidRPr="004F2E0A">
        <w:rPr>
          <w:rFonts w:ascii="Times New Roman" w:hAnsi="Times New Roman" w:cs="Times New Roman"/>
          <w:sz w:val="24"/>
          <w:szCs w:val="24"/>
        </w:rPr>
        <w:t>The Motion must pass by a majority of the board members.</w:t>
      </w:r>
      <w:r>
        <w:rPr>
          <w:rFonts w:ascii="Times New Roman" w:hAnsi="Times New Roman" w:cs="Times New Roman"/>
          <w:b/>
          <w:sz w:val="24"/>
          <w:szCs w:val="24"/>
        </w:rPr>
        <w:t xml:space="preserve"> </w:t>
      </w:r>
      <w:r>
        <w:rPr>
          <w:rFonts w:ascii="Times New Roman" w:hAnsi="Times New Roman" w:cs="Times New Roman"/>
          <w:sz w:val="24"/>
          <w:szCs w:val="24"/>
        </w:rPr>
        <w:t xml:space="preserve">That resolution </w:t>
      </w:r>
      <w:r w:rsidR="002B07F7">
        <w:rPr>
          <w:rFonts w:ascii="Times New Roman" w:hAnsi="Times New Roman" w:cs="Times New Roman"/>
          <w:sz w:val="24"/>
          <w:szCs w:val="24"/>
        </w:rPr>
        <w:t xml:space="preserve">will </w:t>
      </w:r>
      <w:r>
        <w:rPr>
          <w:rFonts w:ascii="Times New Roman" w:hAnsi="Times New Roman" w:cs="Times New Roman"/>
          <w:sz w:val="24"/>
          <w:szCs w:val="24"/>
        </w:rPr>
        <w:t xml:space="preserve">reference and include the plan of distribution </w:t>
      </w:r>
      <w:r w:rsidR="002B07F7">
        <w:rPr>
          <w:rFonts w:ascii="Times New Roman" w:hAnsi="Times New Roman" w:cs="Times New Roman"/>
          <w:sz w:val="24"/>
          <w:szCs w:val="24"/>
        </w:rPr>
        <w:t xml:space="preserve">of assets. </w:t>
      </w:r>
    </w:p>
    <w:p w:rsidR="00B01488" w:rsidRDefault="00B01488" w:rsidP="00135D9B">
      <w:pPr>
        <w:ind w:left="2250" w:hanging="810"/>
        <w:rPr>
          <w:rFonts w:ascii="Times New Roman" w:hAnsi="Times New Roman" w:cs="Times New Roman"/>
          <w:sz w:val="24"/>
          <w:szCs w:val="24"/>
        </w:rPr>
      </w:pPr>
      <w:r w:rsidRPr="004F2E0A">
        <w:rPr>
          <w:rFonts w:ascii="Times New Roman" w:hAnsi="Times New Roman" w:cs="Times New Roman"/>
          <w:b/>
          <w:sz w:val="24"/>
          <w:szCs w:val="24"/>
        </w:rPr>
        <w:t>2.</w:t>
      </w:r>
      <w:r>
        <w:rPr>
          <w:rFonts w:ascii="Times New Roman" w:hAnsi="Times New Roman" w:cs="Times New Roman"/>
          <w:sz w:val="24"/>
          <w:szCs w:val="24"/>
        </w:rPr>
        <w:t xml:space="preserve"> </w:t>
      </w:r>
      <w:r w:rsidR="00135D9B">
        <w:rPr>
          <w:rFonts w:ascii="Times New Roman" w:hAnsi="Times New Roman" w:cs="Times New Roman"/>
          <w:sz w:val="24"/>
          <w:szCs w:val="24"/>
        </w:rPr>
        <w:tab/>
      </w:r>
      <w:r>
        <w:rPr>
          <w:rFonts w:ascii="Times New Roman" w:hAnsi="Times New Roman" w:cs="Times New Roman"/>
          <w:b/>
          <w:sz w:val="24"/>
          <w:szCs w:val="24"/>
        </w:rPr>
        <w:t>Agenda.</w:t>
      </w:r>
      <w:r>
        <w:rPr>
          <w:rFonts w:ascii="Times New Roman" w:hAnsi="Times New Roman" w:cs="Times New Roman"/>
          <w:sz w:val="24"/>
          <w:szCs w:val="24"/>
        </w:rPr>
        <w:t xml:space="preserve"> </w:t>
      </w:r>
      <w:r w:rsidR="00135D9B">
        <w:rPr>
          <w:rFonts w:ascii="Times New Roman" w:hAnsi="Times New Roman" w:cs="Times New Roman"/>
          <w:sz w:val="24"/>
          <w:szCs w:val="24"/>
        </w:rPr>
        <w:t xml:space="preserve">   </w:t>
      </w:r>
      <w:r>
        <w:rPr>
          <w:rFonts w:ascii="Times New Roman" w:hAnsi="Times New Roman" w:cs="Times New Roman"/>
          <w:sz w:val="24"/>
          <w:szCs w:val="24"/>
        </w:rPr>
        <w:t>When the Board is ready to approve thi</w:t>
      </w:r>
      <w:r w:rsidR="007A67F4">
        <w:rPr>
          <w:rFonts w:ascii="Times New Roman" w:hAnsi="Times New Roman" w:cs="Times New Roman"/>
          <w:sz w:val="24"/>
          <w:szCs w:val="24"/>
        </w:rPr>
        <w:t xml:space="preserve">s resolution, the board agenda will </w:t>
      </w:r>
      <w:r>
        <w:rPr>
          <w:rFonts w:ascii="Times New Roman" w:hAnsi="Times New Roman" w:cs="Times New Roman"/>
          <w:sz w:val="24"/>
          <w:szCs w:val="24"/>
        </w:rPr>
        <w:t xml:space="preserve">specifically indicate that the purpose of the meeting is to approve of the dissolution. </w:t>
      </w:r>
    </w:p>
    <w:p w:rsidR="003E168B" w:rsidRPr="00B01488" w:rsidRDefault="00B01488" w:rsidP="004F2E0A">
      <w:pPr>
        <w:spacing w:line="23" w:lineRule="atLeast"/>
        <w:ind w:firstLine="810"/>
        <w:jc w:val="both"/>
        <w:rPr>
          <w:rFonts w:ascii="Times New Roman" w:hAnsi="Times New Roman" w:cs="Times New Roman"/>
          <w:b/>
          <w:sz w:val="24"/>
          <w:szCs w:val="24"/>
        </w:rPr>
      </w:pPr>
      <w:r>
        <w:rPr>
          <w:rFonts w:ascii="Times New Roman" w:hAnsi="Times New Roman" w:cs="Times New Roman"/>
          <w:sz w:val="24"/>
          <w:szCs w:val="24"/>
        </w:rPr>
        <w:tab/>
      </w:r>
      <w:r w:rsidRPr="004F2E0A">
        <w:rPr>
          <w:rFonts w:ascii="Times New Roman" w:hAnsi="Times New Roman" w:cs="Times New Roman"/>
          <w:b/>
          <w:sz w:val="24"/>
          <w:szCs w:val="24"/>
        </w:rPr>
        <w:t>3</w:t>
      </w:r>
      <w:r>
        <w:rPr>
          <w:rFonts w:ascii="Times New Roman" w:hAnsi="Times New Roman" w:cs="Times New Roman"/>
          <w:sz w:val="24"/>
          <w:szCs w:val="24"/>
        </w:rPr>
        <w:t xml:space="preserve">.  </w:t>
      </w:r>
      <w:r w:rsidR="00135D9B">
        <w:rPr>
          <w:rFonts w:ascii="Times New Roman" w:hAnsi="Times New Roman" w:cs="Times New Roman"/>
          <w:sz w:val="24"/>
          <w:szCs w:val="24"/>
        </w:rPr>
        <w:tab/>
      </w:r>
      <w:r w:rsidRPr="00B01488">
        <w:rPr>
          <w:rFonts w:ascii="Times New Roman" w:hAnsi="Times New Roman" w:cs="Times New Roman"/>
          <w:b/>
          <w:sz w:val="24"/>
          <w:szCs w:val="24"/>
        </w:rPr>
        <w:t xml:space="preserve">Wind Up Committee to be </w:t>
      </w:r>
      <w:proofErr w:type="gramStart"/>
      <w:r w:rsidRPr="00B01488">
        <w:rPr>
          <w:rFonts w:ascii="Times New Roman" w:hAnsi="Times New Roman" w:cs="Times New Roman"/>
          <w:b/>
          <w:sz w:val="24"/>
          <w:szCs w:val="24"/>
        </w:rPr>
        <w:t>Designated</w:t>
      </w:r>
      <w:proofErr w:type="gramEnd"/>
      <w:r w:rsidRPr="00B01488">
        <w:rPr>
          <w:rFonts w:ascii="Times New Roman" w:hAnsi="Times New Roman" w:cs="Times New Roman"/>
          <w:b/>
          <w:sz w:val="24"/>
          <w:szCs w:val="24"/>
        </w:rPr>
        <w:t>.</w:t>
      </w:r>
    </w:p>
    <w:p w:rsidR="003E168B" w:rsidRPr="00B01488" w:rsidRDefault="004F2E0A" w:rsidP="00135D9B">
      <w:pPr>
        <w:spacing w:line="23" w:lineRule="atLeast"/>
        <w:ind w:left="22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B01488">
        <w:rPr>
          <w:rFonts w:ascii="Times New Roman" w:hAnsi="Times New Roman" w:cs="Times New Roman"/>
          <w:sz w:val="24"/>
          <w:szCs w:val="24"/>
        </w:rPr>
        <w:t xml:space="preserve">a. </w:t>
      </w:r>
      <w:r>
        <w:rPr>
          <w:rFonts w:ascii="Times New Roman" w:hAnsi="Times New Roman" w:cs="Times New Roman"/>
          <w:sz w:val="24"/>
          <w:szCs w:val="24"/>
        </w:rPr>
        <w:tab/>
      </w:r>
      <w:r w:rsidR="003E168B" w:rsidRPr="00B01488">
        <w:rPr>
          <w:rFonts w:ascii="Times New Roman" w:hAnsi="Times New Roman" w:cs="Times New Roman"/>
          <w:sz w:val="24"/>
          <w:szCs w:val="24"/>
        </w:rPr>
        <w:t>At the meeting the Board will also designate a wind-up committee to handle</w:t>
      </w:r>
      <w:r>
        <w:rPr>
          <w:rFonts w:ascii="Times New Roman" w:hAnsi="Times New Roman" w:cs="Times New Roman"/>
          <w:sz w:val="24"/>
          <w:szCs w:val="24"/>
        </w:rPr>
        <w:t xml:space="preserve"> </w:t>
      </w:r>
      <w:r w:rsidR="003E168B" w:rsidRPr="00B01488">
        <w:rPr>
          <w:rFonts w:ascii="Times New Roman" w:hAnsi="Times New Roman" w:cs="Times New Roman"/>
          <w:sz w:val="24"/>
          <w:szCs w:val="24"/>
        </w:rPr>
        <w:t xml:space="preserve">the details of the closure.  </w:t>
      </w:r>
    </w:p>
    <w:p w:rsidR="00E223CD" w:rsidRPr="00E223CD" w:rsidRDefault="00E223CD" w:rsidP="00E223CD">
      <w:pPr>
        <w:pStyle w:val="ListParagraph"/>
        <w:rPr>
          <w:rFonts w:ascii="Times New Roman" w:hAnsi="Times New Roman" w:cs="Times New Roman"/>
          <w:sz w:val="24"/>
          <w:szCs w:val="24"/>
        </w:rPr>
      </w:pPr>
    </w:p>
    <w:p w:rsidR="003E168B" w:rsidRDefault="003E168B" w:rsidP="00135D9B">
      <w:pPr>
        <w:pStyle w:val="ListParagraph"/>
        <w:numPr>
          <w:ilvl w:val="0"/>
          <w:numId w:val="17"/>
        </w:numPr>
        <w:ind w:left="2340" w:firstLine="0"/>
        <w:rPr>
          <w:rFonts w:ascii="Times New Roman" w:hAnsi="Times New Roman" w:cs="Times New Roman"/>
          <w:sz w:val="24"/>
          <w:szCs w:val="24"/>
        </w:rPr>
      </w:pPr>
      <w:r w:rsidRPr="00B01488">
        <w:rPr>
          <w:rFonts w:ascii="Times New Roman" w:hAnsi="Times New Roman" w:cs="Times New Roman"/>
          <w:sz w:val="24"/>
          <w:szCs w:val="24"/>
        </w:rPr>
        <w:t>The Board will delegate authority to a non-officer (such as the Executive Director</w:t>
      </w:r>
      <w:r w:rsidR="00672182" w:rsidRPr="00B01488">
        <w:rPr>
          <w:rFonts w:ascii="Times New Roman" w:hAnsi="Times New Roman" w:cs="Times New Roman"/>
          <w:sz w:val="24"/>
          <w:szCs w:val="24"/>
        </w:rPr>
        <w:t xml:space="preserve"> or legal counsel</w:t>
      </w:r>
      <w:r w:rsidRPr="00B01488">
        <w:rPr>
          <w:rFonts w:ascii="Times New Roman" w:hAnsi="Times New Roman" w:cs="Times New Roman"/>
          <w:sz w:val="24"/>
          <w:szCs w:val="24"/>
        </w:rPr>
        <w:t xml:space="preserve">) to act as legal representative in </w:t>
      </w:r>
      <w:r w:rsidRPr="00B01488">
        <w:rPr>
          <w:rFonts w:ascii="Times New Roman" w:hAnsi="Times New Roman" w:cs="Times New Roman"/>
          <w:sz w:val="24"/>
          <w:szCs w:val="24"/>
        </w:rPr>
        <w:lastRenderedPageBreak/>
        <w:t xml:space="preserve">signing the documents for filing required notices and any other documents necessary to wind up the affairs of the corporation.  </w:t>
      </w:r>
    </w:p>
    <w:p w:rsidR="00B01488" w:rsidRDefault="00B01488" w:rsidP="00135D9B">
      <w:pPr>
        <w:ind w:left="1440"/>
        <w:rPr>
          <w:rFonts w:ascii="Times New Roman" w:hAnsi="Times New Roman" w:cs="Times New Roman"/>
          <w:sz w:val="24"/>
          <w:szCs w:val="24"/>
        </w:rPr>
      </w:pPr>
      <w:r>
        <w:rPr>
          <w:rFonts w:ascii="Times New Roman" w:hAnsi="Times New Roman" w:cs="Times New Roman"/>
          <w:sz w:val="24"/>
          <w:szCs w:val="24"/>
        </w:rPr>
        <w:t>4.</w:t>
      </w:r>
      <w:r w:rsidRPr="00B01488">
        <w:rPr>
          <w:rFonts w:ascii="Times New Roman" w:hAnsi="Times New Roman" w:cs="Times New Roman"/>
          <w:b/>
          <w:sz w:val="24"/>
          <w:szCs w:val="24"/>
        </w:rPr>
        <w:t xml:space="preserve"> </w:t>
      </w:r>
      <w:r w:rsidR="00135D9B">
        <w:rPr>
          <w:rFonts w:ascii="Times New Roman" w:hAnsi="Times New Roman" w:cs="Times New Roman"/>
          <w:b/>
          <w:sz w:val="24"/>
          <w:szCs w:val="24"/>
        </w:rPr>
        <w:tab/>
      </w:r>
      <w:r>
        <w:rPr>
          <w:rFonts w:ascii="Times New Roman" w:hAnsi="Times New Roman" w:cs="Times New Roman"/>
          <w:b/>
          <w:sz w:val="24"/>
          <w:szCs w:val="24"/>
        </w:rPr>
        <w:t>Filing Notice</w:t>
      </w:r>
      <w:r w:rsidR="00135D9B">
        <w:rPr>
          <w:rFonts w:ascii="Times New Roman" w:hAnsi="Times New Roman" w:cs="Times New Roman"/>
          <w:sz w:val="24"/>
          <w:szCs w:val="24"/>
        </w:rPr>
        <w:t xml:space="preserve">.  The </w:t>
      </w:r>
      <w:r>
        <w:rPr>
          <w:rFonts w:ascii="Times New Roman" w:hAnsi="Times New Roman" w:cs="Times New Roman"/>
          <w:sz w:val="24"/>
          <w:szCs w:val="24"/>
        </w:rPr>
        <w:t xml:space="preserve">legal representative will file the appropriate “Notice of Intent to Dissolve” with </w:t>
      </w:r>
      <w:r w:rsidR="00135D9B">
        <w:rPr>
          <w:rFonts w:ascii="Times New Roman" w:hAnsi="Times New Roman" w:cs="Times New Roman"/>
          <w:sz w:val="24"/>
          <w:szCs w:val="24"/>
        </w:rPr>
        <w:t xml:space="preserve">the Secretary of State and the </w:t>
      </w:r>
      <w:r>
        <w:rPr>
          <w:rFonts w:ascii="Times New Roman" w:hAnsi="Times New Roman" w:cs="Times New Roman"/>
          <w:sz w:val="24"/>
          <w:szCs w:val="24"/>
        </w:rPr>
        <w:t xml:space="preserve">Attorney General’s office after the resolution has been passed.  </w:t>
      </w:r>
    </w:p>
    <w:p w:rsidR="00672182" w:rsidRDefault="00672182" w:rsidP="00672182">
      <w:pPr>
        <w:pStyle w:val="ListParagraph"/>
        <w:spacing w:line="23" w:lineRule="atLeast"/>
        <w:ind w:left="1440"/>
        <w:jc w:val="both"/>
        <w:rPr>
          <w:rFonts w:ascii="Times New Roman" w:hAnsi="Times New Roman" w:cs="Times New Roman"/>
          <w:sz w:val="24"/>
          <w:szCs w:val="24"/>
        </w:rPr>
      </w:pPr>
    </w:p>
    <w:p w:rsidR="00B01488" w:rsidRDefault="007A67F4" w:rsidP="007A67F4">
      <w:pPr>
        <w:pStyle w:val="ListParagraph"/>
        <w:numPr>
          <w:ilvl w:val="0"/>
          <w:numId w:val="1"/>
        </w:numPr>
        <w:tabs>
          <w:tab w:val="left" w:pos="720"/>
        </w:tabs>
        <w:ind w:left="540" w:hanging="540"/>
        <w:rPr>
          <w:rFonts w:ascii="Times New Roman" w:hAnsi="Times New Roman" w:cs="Times New Roman"/>
          <w:sz w:val="24"/>
          <w:szCs w:val="24"/>
        </w:rPr>
      </w:pPr>
      <w:r>
        <w:rPr>
          <w:rFonts w:ascii="Times New Roman" w:hAnsi="Times New Roman" w:cs="Times New Roman"/>
          <w:b/>
          <w:sz w:val="24"/>
          <w:szCs w:val="24"/>
        </w:rPr>
        <w:t xml:space="preserve">     </w:t>
      </w:r>
      <w:r w:rsidR="00B01488">
        <w:rPr>
          <w:rFonts w:ascii="Times New Roman" w:hAnsi="Times New Roman" w:cs="Times New Roman"/>
          <w:b/>
          <w:sz w:val="24"/>
          <w:szCs w:val="24"/>
        </w:rPr>
        <w:t xml:space="preserve">GENERAL </w:t>
      </w:r>
      <w:r w:rsidR="00B01488" w:rsidRPr="00B01488">
        <w:rPr>
          <w:rFonts w:ascii="Times New Roman" w:hAnsi="Times New Roman" w:cs="Times New Roman"/>
          <w:b/>
          <w:sz w:val="24"/>
          <w:szCs w:val="24"/>
        </w:rPr>
        <w:t>PROCESSES TO ENSURE ORDERLY CLOSURE</w:t>
      </w:r>
      <w:r w:rsidR="00672182" w:rsidRPr="00B01488">
        <w:rPr>
          <w:rFonts w:ascii="Times New Roman" w:hAnsi="Times New Roman" w:cs="Times New Roman"/>
          <w:sz w:val="24"/>
          <w:szCs w:val="24"/>
        </w:rPr>
        <w:t xml:space="preserve">.  </w:t>
      </w:r>
    </w:p>
    <w:p w:rsidR="00B01488" w:rsidRDefault="00B01488" w:rsidP="00B01488">
      <w:pPr>
        <w:pStyle w:val="ListParagraph"/>
        <w:ind w:left="360"/>
        <w:rPr>
          <w:rFonts w:ascii="Times New Roman" w:hAnsi="Times New Roman" w:cs="Times New Roman"/>
          <w:b/>
          <w:sz w:val="24"/>
          <w:szCs w:val="24"/>
        </w:rPr>
      </w:pPr>
    </w:p>
    <w:p w:rsidR="003E168B" w:rsidRDefault="00672182" w:rsidP="0070668A">
      <w:pPr>
        <w:pStyle w:val="ListParagraph"/>
        <w:ind w:left="810"/>
        <w:rPr>
          <w:rFonts w:ascii="Times New Roman" w:hAnsi="Times New Roman" w:cs="Times New Roman"/>
          <w:sz w:val="24"/>
          <w:szCs w:val="24"/>
        </w:rPr>
      </w:pPr>
      <w:r w:rsidRPr="00B01488">
        <w:rPr>
          <w:rFonts w:ascii="Times New Roman" w:hAnsi="Times New Roman" w:cs="Times New Roman"/>
          <w:sz w:val="24"/>
          <w:szCs w:val="24"/>
        </w:rPr>
        <w:t>To ensure orderly closure, the legal representative will also ensure the following:</w:t>
      </w:r>
    </w:p>
    <w:p w:rsidR="00B01488" w:rsidRPr="00B01488" w:rsidRDefault="00B01488" w:rsidP="00B01488">
      <w:pPr>
        <w:pStyle w:val="ListParagraph"/>
        <w:ind w:left="360"/>
        <w:rPr>
          <w:rFonts w:ascii="Times New Roman" w:hAnsi="Times New Roman" w:cs="Times New Roman"/>
          <w:sz w:val="24"/>
          <w:szCs w:val="24"/>
        </w:rPr>
      </w:pPr>
    </w:p>
    <w:p w:rsidR="00672182" w:rsidRPr="007A67F4" w:rsidRDefault="0070668A" w:rsidP="007A67F4">
      <w:pPr>
        <w:pStyle w:val="ListParagraph"/>
        <w:numPr>
          <w:ilvl w:val="1"/>
          <w:numId w:val="1"/>
        </w:numPr>
        <w:ind w:hanging="720"/>
        <w:rPr>
          <w:rFonts w:ascii="Times New Roman" w:hAnsi="Times New Roman" w:cs="Times New Roman"/>
          <w:sz w:val="24"/>
          <w:szCs w:val="24"/>
        </w:rPr>
      </w:pPr>
      <w:r w:rsidRPr="007A67F4">
        <w:rPr>
          <w:rFonts w:ascii="Times New Roman" w:hAnsi="Times New Roman" w:cs="Times New Roman"/>
          <w:b/>
          <w:sz w:val="24"/>
          <w:szCs w:val="24"/>
        </w:rPr>
        <w:t xml:space="preserve"> </w:t>
      </w:r>
      <w:r w:rsidR="00672182" w:rsidRPr="007A67F4">
        <w:rPr>
          <w:rFonts w:ascii="Times New Roman" w:hAnsi="Times New Roman" w:cs="Times New Roman"/>
          <w:b/>
          <w:sz w:val="24"/>
          <w:szCs w:val="24"/>
        </w:rPr>
        <w:t>Authorizer involvement.</w:t>
      </w:r>
      <w:r w:rsidR="00672182" w:rsidRPr="007A67F4">
        <w:rPr>
          <w:rFonts w:ascii="Times New Roman" w:hAnsi="Times New Roman" w:cs="Times New Roman"/>
          <w:sz w:val="24"/>
          <w:szCs w:val="24"/>
        </w:rPr>
        <w:t xml:space="preserve"> That the authorizer is kept apprised throughout </w:t>
      </w:r>
      <w:r w:rsidR="002717B6" w:rsidRPr="007A67F4">
        <w:rPr>
          <w:rFonts w:ascii="Times New Roman" w:hAnsi="Times New Roman" w:cs="Times New Roman"/>
          <w:sz w:val="24"/>
          <w:szCs w:val="24"/>
        </w:rPr>
        <w:t>the process</w:t>
      </w:r>
      <w:r w:rsidR="00672182" w:rsidRPr="007A67F4">
        <w:rPr>
          <w:rFonts w:ascii="Times New Roman" w:hAnsi="Times New Roman" w:cs="Times New Roman"/>
          <w:sz w:val="24"/>
          <w:szCs w:val="24"/>
        </w:rPr>
        <w:t>.</w:t>
      </w:r>
    </w:p>
    <w:p w:rsidR="004F2E0A" w:rsidRPr="00B01488" w:rsidRDefault="004F2E0A" w:rsidP="004F2E0A">
      <w:pPr>
        <w:pStyle w:val="ListParagraph"/>
        <w:ind w:left="1440"/>
        <w:rPr>
          <w:rFonts w:ascii="Times New Roman" w:hAnsi="Times New Roman" w:cs="Times New Roman"/>
          <w:sz w:val="24"/>
          <w:szCs w:val="24"/>
        </w:rPr>
      </w:pPr>
    </w:p>
    <w:p w:rsidR="00B01488" w:rsidRDefault="00B01488" w:rsidP="007A67F4">
      <w:pPr>
        <w:pStyle w:val="ListParagraph"/>
        <w:numPr>
          <w:ilvl w:val="1"/>
          <w:numId w:val="1"/>
        </w:numPr>
        <w:spacing w:line="23" w:lineRule="atLeast"/>
        <w:ind w:hanging="720"/>
        <w:jc w:val="both"/>
        <w:rPr>
          <w:rFonts w:ascii="Times New Roman" w:hAnsi="Times New Roman" w:cs="Times New Roman"/>
          <w:sz w:val="24"/>
          <w:szCs w:val="24"/>
        </w:rPr>
      </w:pPr>
      <w:r w:rsidRPr="00135D9B">
        <w:rPr>
          <w:rFonts w:ascii="Times New Roman" w:hAnsi="Times New Roman" w:cs="Times New Roman"/>
          <w:b/>
          <w:sz w:val="24"/>
          <w:szCs w:val="24"/>
        </w:rPr>
        <w:t>Notification of parents, employees and benefit providers.</w:t>
      </w:r>
      <w:r>
        <w:rPr>
          <w:rFonts w:ascii="Times New Roman" w:hAnsi="Times New Roman" w:cs="Times New Roman"/>
          <w:sz w:val="24"/>
          <w:szCs w:val="24"/>
        </w:rPr>
        <w:t xml:space="preserve"> The legal representative will notify parents, employees and benefit providers of the closure as soon as possible.</w:t>
      </w:r>
    </w:p>
    <w:p w:rsidR="00B01488" w:rsidRDefault="00B01488" w:rsidP="00B01488">
      <w:pPr>
        <w:pStyle w:val="ListParagraph"/>
        <w:spacing w:line="23" w:lineRule="atLeast"/>
        <w:jc w:val="both"/>
        <w:rPr>
          <w:rFonts w:ascii="Times New Roman" w:hAnsi="Times New Roman" w:cs="Times New Roman"/>
          <w:sz w:val="24"/>
          <w:szCs w:val="24"/>
        </w:rPr>
      </w:pPr>
    </w:p>
    <w:p w:rsidR="00B01488" w:rsidRPr="00B01488" w:rsidRDefault="00B01488" w:rsidP="007A67F4">
      <w:pPr>
        <w:pStyle w:val="ListParagraph"/>
        <w:numPr>
          <w:ilvl w:val="1"/>
          <w:numId w:val="1"/>
        </w:numPr>
        <w:spacing w:line="23" w:lineRule="atLeast"/>
        <w:ind w:hanging="720"/>
        <w:jc w:val="both"/>
        <w:rPr>
          <w:rFonts w:ascii="Times New Roman" w:hAnsi="Times New Roman" w:cs="Times New Roman"/>
          <w:sz w:val="24"/>
          <w:szCs w:val="24"/>
        </w:rPr>
      </w:pPr>
      <w:r w:rsidRPr="00135D9B">
        <w:rPr>
          <w:rFonts w:ascii="Times New Roman" w:hAnsi="Times New Roman" w:cs="Times New Roman"/>
          <w:b/>
          <w:sz w:val="24"/>
          <w:szCs w:val="24"/>
        </w:rPr>
        <w:t>Employee termination date.</w:t>
      </w:r>
      <w:r>
        <w:rPr>
          <w:rFonts w:ascii="Times New Roman" w:hAnsi="Times New Roman" w:cs="Times New Roman"/>
          <w:sz w:val="24"/>
          <w:szCs w:val="24"/>
        </w:rPr>
        <w:t xml:space="preserve">  </w:t>
      </w:r>
      <w:r w:rsidRPr="00B01488">
        <w:rPr>
          <w:rFonts w:ascii="Times New Roman" w:hAnsi="Times New Roman" w:cs="Times New Roman"/>
          <w:sz w:val="24"/>
          <w:szCs w:val="24"/>
        </w:rPr>
        <w:t>The legal representative will determine final termination dates for employees.</w:t>
      </w:r>
    </w:p>
    <w:p w:rsidR="00B01488" w:rsidRDefault="00B01488" w:rsidP="00B01488">
      <w:pPr>
        <w:pStyle w:val="ListParagraph"/>
        <w:spacing w:line="23" w:lineRule="atLeast"/>
        <w:jc w:val="both"/>
        <w:rPr>
          <w:rFonts w:ascii="Times New Roman" w:hAnsi="Times New Roman" w:cs="Times New Roman"/>
          <w:sz w:val="24"/>
          <w:szCs w:val="24"/>
        </w:rPr>
      </w:pPr>
    </w:p>
    <w:p w:rsidR="00B01488" w:rsidRPr="00B01488" w:rsidRDefault="00B01488" w:rsidP="007A67F4">
      <w:pPr>
        <w:pStyle w:val="ListParagraph"/>
        <w:numPr>
          <w:ilvl w:val="1"/>
          <w:numId w:val="1"/>
        </w:numPr>
        <w:spacing w:line="23" w:lineRule="atLeast"/>
        <w:ind w:hanging="720"/>
        <w:jc w:val="both"/>
        <w:rPr>
          <w:rFonts w:ascii="Times New Roman" w:hAnsi="Times New Roman" w:cs="Times New Roman"/>
          <w:sz w:val="24"/>
          <w:szCs w:val="24"/>
        </w:rPr>
      </w:pPr>
      <w:r w:rsidRPr="00135D9B">
        <w:rPr>
          <w:rFonts w:ascii="Times New Roman" w:hAnsi="Times New Roman" w:cs="Times New Roman"/>
          <w:b/>
          <w:sz w:val="24"/>
          <w:szCs w:val="24"/>
        </w:rPr>
        <w:t>MDE notification</w:t>
      </w:r>
      <w:r>
        <w:rPr>
          <w:rFonts w:ascii="Times New Roman" w:hAnsi="Times New Roman" w:cs="Times New Roman"/>
          <w:sz w:val="24"/>
          <w:szCs w:val="24"/>
        </w:rPr>
        <w:t xml:space="preserve">. </w:t>
      </w:r>
      <w:r w:rsidRPr="00B01488">
        <w:rPr>
          <w:rFonts w:ascii="Times New Roman" w:hAnsi="Times New Roman" w:cs="Times New Roman"/>
          <w:sz w:val="24"/>
          <w:szCs w:val="24"/>
        </w:rPr>
        <w:t>The Minnesota Department of Education will be notified of the closure as soon as possible.</w:t>
      </w:r>
    </w:p>
    <w:p w:rsidR="00B01488" w:rsidRPr="00672182" w:rsidRDefault="00B01488" w:rsidP="00B01488">
      <w:pPr>
        <w:pStyle w:val="ListParagraph"/>
        <w:rPr>
          <w:rFonts w:ascii="Times New Roman" w:hAnsi="Times New Roman" w:cs="Times New Roman"/>
          <w:sz w:val="24"/>
          <w:szCs w:val="24"/>
        </w:rPr>
      </w:pPr>
    </w:p>
    <w:p w:rsidR="00672182" w:rsidRPr="00B01488" w:rsidRDefault="00672182" w:rsidP="007A67F4">
      <w:pPr>
        <w:pStyle w:val="ListParagraph"/>
        <w:numPr>
          <w:ilvl w:val="1"/>
          <w:numId w:val="1"/>
        </w:numPr>
        <w:ind w:hanging="720"/>
        <w:rPr>
          <w:rFonts w:ascii="Times New Roman" w:hAnsi="Times New Roman" w:cs="Times New Roman"/>
          <w:sz w:val="24"/>
          <w:szCs w:val="24"/>
        </w:rPr>
      </w:pPr>
      <w:r w:rsidRPr="00135D9B">
        <w:rPr>
          <w:rFonts w:ascii="Times New Roman" w:hAnsi="Times New Roman" w:cs="Times New Roman"/>
          <w:b/>
          <w:sz w:val="24"/>
          <w:szCs w:val="24"/>
        </w:rPr>
        <w:t>Insurance.</w:t>
      </w:r>
      <w:r w:rsidRPr="00B01488">
        <w:rPr>
          <w:rFonts w:ascii="Times New Roman" w:hAnsi="Times New Roman" w:cs="Times New Roman"/>
          <w:sz w:val="24"/>
          <w:szCs w:val="24"/>
        </w:rPr>
        <w:t xml:space="preserve">  The legal representative will ensure that insurance coverage is maintained to protect the assets of the school.</w:t>
      </w:r>
    </w:p>
    <w:p w:rsidR="00672182" w:rsidRDefault="00672182" w:rsidP="00672182">
      <w:pPr>
        <w:pStyle w:val="ListParagraph"/>
        <w:spacing w:line="23" w:lineRule="atLeast"/>
        <w:ind w:left="1440"/>
        <w:jc w:val="both"/>
        <w:rPr>
          <w:rFonts w:ascii="Times New Roman" w:hAnsi="Times New Roman" w:cs="Times New Roman"/>
          <w:sz w:val="24"/>
          <w:szCs w:val="24"/>
        </w:rPr>
      </w:pPr>
    </w:p>
    <w:p w:rsidR="00672182" w:rsidRPr="00B01488" w:rsidRDefault="00672182" w:rsidP="007A67F4">
      <w:pPr>
        <w:pStyle w:val="ListParagraph"/>
        <w:numPr>
          <w:ilvl w:val="1"/>
          <w:numId w:val="1"/>
        </w:numPr>
        <w:ind w:hanging="720"/>
        <w:rPr>
          <w:rFonts w:ascii="Times New Roman" w:hAnsi="Times New Roman" w:cs="Times New Roman"/>
          <w:sz w:val="24"/>
          <w:szCs w:val="24"/>
        </w:rPr>
      </w:pPr>
      <w:r w:rsidRPr="00135D9B">
        <w:rPr>
          <w:rFonts w:ascii="Times New Roman" w:hAnsi="Times New Roman" w:cs="Times New Roman"/>
          <w:b/>
          <w:sz w:val="24"/>
          <w:szCs w:val="24"/>
        </w:rPr>
        <w:t>Records.</w:t>
      </w:r>
      <w:r w:rsidRPr="00B01488">
        <w:rPr>
          <w:rFonts w:ascii="Times New Roman" w:hAnsi="Times New Roman" w:cs="Times New Roman"/>
          <w:sz w:val="24"/>
          <w:szCs w:val="24"/>
        </w:rPr>
        <w:t xml:space="preserve">  The legal representative will h</w:t>
      </w:r>
      <w:r w:rsidR="00B01488">
        <w:rPr>
          <w:rFonts w:ascii="Times New Roman" w:hAnsi="Times New Roman" w:cs="Times New Roman"/>
          <w:sz w:val="24"/>
          <w:szCs w:val="24"/>
        </w:rPr>
        <w:t xml:space="preserve">ave a plan to ensure </w:t>
      </w:r>
      <w:r w:rsidR="004F2E0A">
        <w:rPr>
          <w:rFonts w:ascii="Times New Roman" w:hAnsi="Times New Roman" w:cs="Times New Roman"/>
          <w:sz w:val="24"/>
          <w:szCs w:val="24"/>
        </w:rPr>
        <w:t>mainte</w:t>
      </w:r>
      <w:r w:rsidR="004F2E0A" w:rsidRPr="00B01488">
        <w:rPr>
          <w:rFonts w:ascii="Times New Roman" w:hAnsi="Times New Roman" w:cs="Times New Roman"/>
          <w:sz w:val="24"/>
          <w:szCs w:val="24"/>
        </w:rPr>
        <w:t>nance</w:t>
      </w:r>
      <w:r w:rsidRPr="00B01488">
        <w:rPr>
          <w:rFonts w:ascii="Times New Roman" w:hAnsi="Times New Roman" w:cs="Times New Roman"/>
          <w:sz w:val="24"/>
          <w:szCs w:val="24"/>
        </w:rPr>
        <w:t xml:space="preserve"> and security of all records that is consistent with the sch</w:t>
      </w:r>
      <w:r w:rsidR="004F2E0A">
        <w:rPr>
          <w:rFonts w:ascii="Times New Roman" w:hAnsi="Times New Roman" w:cs="Times New Roman"/>
          <w:sz w:val="24"/>
          <w:szCs w:val="24"/>
        </w:rPr>
        <w:t>ool’s records retention policy.</w:t>
      </w:r>
      <w:r w:rsidRPr="00B01488">
        <w:rPr>
          <w:rFonts w:ascii="Times New Roman" w:hAnsi="Times New Roman" w:cs="Times New Roman"/>
          <w:sz w:val="24"/>
          <w:szCs w:val="24"/>
        </w:rPr>
        <w:t xml:space="preserve">    </w:t>
      </w:r>
    </w:p>
    <w:p w:rsidR="00672182" w:rsidRDefault="00672182" w:rsidP="00672182">
      <w:pPr>
        <w:pStyle w:val="ListParagraph"/>
        <w:ind w:left="360"/>
        <w:rPr>
          <w:rFonts w:ascii="Times New Roman" w:hAnsi="Times New Roman" w:cs="Times New Roman"/>
          <w:sz w:val="24"/>
          <w:szCs w:val="24"/>
        </w:rPr>
      </w:pPr>
    </w:p>
    <w:p w:rsidR="00672182" w:rsidRPr="00B01488" w:rsidRDefault="00672182" w:rsidP="007A67F4">
      <w:pPr>
        <w:pStyle w:val="ListParagraph"/>
        <w:numPr>
          <w:ilvl w:val="1"/>
          <w:numId w:val="1"/>
        </w:numPr>
        <w:ind w:hanging="720"/>
        <w:rPr>
          <w:rFonts w:ascii="Times New Roman" w:hAnsi="Times New Roman" w:cs="Times New Roman"/>
          <w:sz w:val="24"/>
          <w:szCs w:val="24"/>
        </w:rPr>
      </w:pPr>
      <w:r w:rsidRPr="00135D9B">
        <w:rPr>
          <w:rFonts w:ascii="Times New Roman" w:hAnsi="Times New Roman" w:cs="Times New Roman"/>
          <w:b/>
          <w:sz w:val="24"/>
          <w:szCs w:val="24"/>
        </w:rPr>
        <w:t>Segregated fund.</w:t>
      </w:r>
      <w:r w:rsidRPr="00B01488">
        <w:rPr>
          <w:rFonts w:ascii="Times New Roman" w:hAnsi="Times New Roman" w:cs="Times New Roman"/>
          <w:sz w:val="24"/>
          <w:szCs w:val="24"/>
        </w:rPr>
        <w:t xml:space="preserve">  The legal representative will consult with the authorizer to determine how much money should be deposited into a segregated checking account into which funds can be deposited to assist in the closure</w:t>
      </w:r>
      <w:r w:rsidR="00B01488">
        <w:rPr>
          <w:rFonts w:ascii="Times New Roman" w:hAnsi="Times New Roman" w:cs="Times New Roman"/>
          <w:sz w:val="24"/>
          <w:szCs w:val="24"/>
        </w:rPr>
        <w:t xml:space="preserve">. </w:t>
      </w:r>
      <w:r w:rsidRPr="00B01488">
        <w:rPr>
          <w:rFonts w:ascii="Times New Roman" w:hAnsi="Times New Roman" w:cs="Times New Roman"/>
          <w:sz w:val="24"/>
          <w:szCs w:val="24"/>
        </w:rPr>
        <w:t xml:space="preserve"> </w:t>
      </w:r>
    </w:p>
    <w:p w:rsidR="00672182" w:rsidRDefault="00672182" w:rsidP="00672182">
      <w:pPr>
        <w:pStyle w:val="ListParagraph"/>
        <w:spacing w:line="23" w:lineRule="atLeast"/>
        <w:ind w:left="1440"/>
        <w:jc w:val="both"/>
        <w:rPr>
          <w:rFonts w:ascii="Times New Roman" w:hAnsi="Times New Roman" w:cs="Times New Roman"/>
          <w:sz w:val="24"/>
          <w:szCs w:val="24"/>
        </w:rPr>
      </w:pPr>
    </w:p>
    <w:p w:rsidR="00672182" w:rsidRDefault="00672182" w:rsidP="00672182">
      <w:pPr>
        <w:pStyle w:val="ListParagraph"/>
        <w:rPr>
          <w:rFonts w:ascii="Times New Roman" w:hAnsi="Times New Roman" w:cs="Times New Roman"/>
          <w:sz w:val="24"/>
          <w:szCs w:val="24"/>
        </w:rPr>
      </w:pPr>
    </w:p>
    <w:p w:rsidR="00672182" w:rsidRPr="00672182" w:rsidRDefault="00672182" w:rsidP="00672182">
      <w:pPr>
        <w:pStyle w:val="ListParagraph"/>
        <w:rPr>
          <w:rFonts w:ascii="Times New Roman" w:hAnsi="Times New Roman" w:cs="Times New Roman"/>
          <w:sz w:val="24"/>
          <w:szCs w:val="24"/>
        </w:rPr>
      </w:pPr>
    </w:p>
    <w:p w:rsidR="003E168B" w:rsidRDefault="003E168B" w:rsidP="003E168B">
      <w:pPr>
        <w:pStyle w:val="ListParagraph"/>
        <w:rPr>
          <w:rFonts w:ascii="Times New Roman" w:hAnsi="Times New Roman" w:cs="Times New Roman"/>
          <w:sz w:val="24"/>
          <w:szCs w:val="24"/>
        </w:rPr>
      </w:pPr>
    </w:p>
    <w:p w:rsidR="00B01488" w:rsidRPr="00B01488" w:rsidRDefault="00135D9B" w:rsidP="00B0148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w:t>
      </w:r>
      <w:r w:rsidR="00B01488">
        <w:rPr>
          <w:rFonts w:ascii="Times New Roman" w:hAnsi="Times New Roman" w:cs="Times New Roman"/>
          <w:b/>
          <w:sz w:val="24"/>
          <w:szCs w:val="24"/>
        </w:rPr>
        <w:t xml:space="preserve">DEVELOPMENT OF THE SCHOOL’S </w:t>
      </w:r>
      <w:r w:rsidR="00B01488" w:rsidRPr="00672182">
        <w:rPr>
          <w:rFonts w:ascii="Times New Roman" w:hAnsi="Times New Roman" w:cs="Times New Roman"/>
          <w:b/>
          <w:sz w:val="24"/>
          <w:szCs w:val="24"/>
        </w:rPr>
        <w:t>WIND UP PLAN</w:t>
      </w:r>
      <w:r w:rsidR="00E223CD" w:rsidRPr="00672182">
        <w:rPr>
          <w:rFonts w:ascii="Times New Roman" w:hAnsi="Times New Roman" w:cs="Times New Roman"/>
          <w:b/>
          <w:sz w:val="24"/>
          <w:szCs w:val="24"/>
        </w:rPr>
        <w:t xml:space="preserve">.  </w:t>
      </w:r>
    </w:p>
    <w:p w:rsidR="00B01488" w:rsidRDefault="00B01488" w:rsidP="00B01488">
      <w:pPr>
        <w:pStyle w:val="ListParagraph"/>
        <w:ind w:left="360"/>
        <w:rPr>
          <w:rFonts w:ascii="Times New Roman" w:hAnsi="Times New Roman" w:cs="Times New Roman"/>
          <w:b/>
          <w:sz w:val="24"/>
          <w:szCs w:val="24"/>
        </w:rPr>
      </w:pPr>
    </w:p>
    <w:p w:rsidR="00672182" w:rsidRDefault="004505A1" w:rsidP="00135D9B">
      <w:pPr>
        <w:pStyle w:val="ListParagraph"/>
        <w:numPr>
          <w:ilvl w:val="1"/>
          <w:numId w:val="1"/>
        </w:numPr>
        <w:ind w:left="1530" w:hanging="900"/>
        <w:rPr>
          <w:rFonts w:ascii="Times New Roman" w:hAnsi="Times New Roman" w:cs="Times New Roman"/>
          <w:sz w:val="24"/>
          <w:szCs w:val="24"/>
        </w:rPr>
      </w:pPr>
      <w:r w:rsidRPr="004505A1">
        <w:rPr>
          <w:rFonts w:ascii="Times New Roman" w:hAnsi="Times New Roman" w:cs="Times New Roman"/>
          <w:b/>
          <w:sz w:val="24"/>
          <w:szCs w:val="24"/>
        </w:rPr>
        <w:t>Formulation of the wind-up plan.</w:t>
      </w:r>
      <w:r>
        <w:rPr>
          <w:rFonts w:ascii="Times New Roman" w:hAnsi="Times New Roman" w:cs="Times New Roman"/>
          <w:sz w:val="24"/>
          <w:szCs w:val="24"/>
        </w:rPr>
        <w:t xml:space="preserve">  </w:t>
      </w:r>
      <w:r w:rsidR="00135D9B">
        <w:rPr>
          <w:rFonts w:ascii="Times New Roman" w:hAnsi="Times New Roman" w:cs="Times New Roman"/>
          <w:sz w:val="24"/>
          <w:szCs w:val="24"/>
        </w:rPr>
        <w:t xml:space="preserve"> </w:t>
      </w:r>
      <w:r w:rsidR="00672182" w:rsidRPr="00672182">
        <w:rPr>
          <w:rFonts w:ascii="Times New Roman" w:hAnsi="Times New Roman" w:cs="Times New Roman"/>
          <w:sz w:val="24"/>
          <w:szCs w:val="24"/>
        </w:rPr>
        <w:t>In order to formulate an appropriate wind-up plan</w:t>
      </w:r>
      <w:r w:rsidR="00672182">
        <w:rPr>
          <w:rFonts w:ascii="Times New Roman" w:hAnsi="Times New Roman" w:cs="Times New Roman"/>
          <w:sz w:val="24"/>
          <w:szCs w:val="24"/>
        </w:rPr>
        <w:t xml:space="preserve"> (see III.A.1 above)</w:t>
      </w:r>
      <w:r w:rsidR="00672182" w:rsidRPr="00672182">
        <w:rPr>
          <w:rFonts w:ascii="Times New Roman" w:hAnsi="Times New Roman" w:cs="Times New Roman"/>
          <w:sz w:val="24"/>
          <w:szCs w:val="24"/>
        </w:rPr>
        <w:t xml:space="preserve"> the following </w:t>
      </w:r>
      <w:r w:rsidR="00135D9B">
        <w:rPr>
          <w:rFonts w:ascii="Times New Roman" w:hAnsi="Times New Roman" w:cs="Times New Roman"/>
          <w:sz w:val="24"/>
          <w:szCs w:val="24"/>
        </w:rPr>
        <w:t xml:space="preserve"> </w:t>
      </w:r>
      <w:r w:rsidR="00672182" w:rsidRPr="00672182">
        <w:rPr>
          <w:rFonts w:ascii="Times New Roman" w:hAnsi="Times New Roman" w:cs="Times New Roman"/>
          <w:sz w:val="24"/>
          <w:szCs w:val="24"/>
        </w:rPr>
        <w:t xml:space="preserve">steps </w:t>
      </w:r>
      <w:r w:rsidR="00146F10">
        <w:rPr>
          <w:rFonts w:ascii="Times New Roman" w:hAnsi="Times New Roman" w:cs="Times New Roman"/>
          <w:sz w:val="24"/>
          <w:szCs w:val="24"/>
        </w:rPr>
        <w:t>w</w:t>
      </w:r>
      <w:r w:rsidR="00672182" w:rsidRPr="00672182">
        <w:rPr>
          <w:rFonts w:ascii="Times New Roman" w:hAnsi="Times New Roman" w:cs="Times New Roman"/>
          <w:sz w:val="24"/>
          <w:szCs w:val="24"/>
        </w:rPr>
        <w:t xml:space="preserve">ill be taken: </w:t>
      </w:r>
    </w:p>
    <w:p w:rsidR="004F2E0A" w:rsidRPr="00672182" w:rsidRDefault="004F2E0A" w:rsidP="004F2E0A">
      <w:pPr>
        <w:pStyle w:val="ListParagraph"/>
        <w:rPr>
          <w:rFonts w:ascii="Times New Roman" w:hAnsi="Times New Roman" w:cs="Times New Roman"/>
          <w:sz w:val="24"/>
          <w:szCs w:val="24"/>
        </w:rPr>
      </w:pPr>
    </w:p>
    <w:p w:rsidR="00E223CD" w:rsidRDefault="003E168B" w:rsidP="00135D9B">
      <w:pPr>
        <w:pStyle w:val="ListParagraph"/>
        <w:numPr>
          <w:ilvl w:val="3"/>
          <w:numId w:val="1"/>
        </w:numPr>
        <w:ind w:left="1440" w:firstLine="90"/>
        <w:rPr>
          <w:rFonts w:ascii="Times New Roman" w:hAnsi="Times New Roman" w:cs="Times New Roman"/>
          <w:sz w:val="24"/>
          <w:szCs w:val="24"/>
        </w:rPr>
      </w:pPr>
      <w:r w:rsidRPr="00672182">
        <w:rPr>
          <w:rFonts w:ascii="Times New Roman" w:hAnsi="Times New Roman" w:cs="Times New Roman"/>
          <w:sz w:val="24"/>
          <w:szCs w:val="24"/>
        </w:rPr>
        <w:lastRenderedPageBreak/>
        <w:t xml:space="preserve">A review </w:t>
      </w:r>
      <w:r w:rsidR="00E223CD" w:rsidRPr="00672182">
        <w:rPr>
          <w:rFonts w:ascii="Times New Roman" w:hAnsi="Times New Roman" w:cs="Times New Roman"/>
          <w:sz w:val="24"/>
          <w:szCs w:val="24"/>
        </w:rPr>
        <w:t xml:space="preserve">will </w:t>
      </w:r>
      <w:r w:rsidRPr="00672182">
        <w:rPr>
          <w:rFonts w:ascii="Times New Roman" w:hAnsi="Times New Roman" w:cs="Times New Roman"/>
          <w:sz w:val="24"/>
          <w:szCs w:val="24"/>
        </w:rPr>
        <w:t>be made of all the assets currently available</w:t>
      </w:r>
      <w:r w:rsidR="00E223CD" w:rsidRPr="00672182">
        <w:rPr>
          <w:rFonts w:ascii="Times New Roman" w:hAnsi="Times New Roman" w:cs="Times New Roman"/>
          <w:sz w:val="24"/>
          <w:szCs w:val="24"/>
        </w:rPr>
        <w:t>;</w:t>
      </w:r>
    </w:p>
    <w:p w:rsidR="004F2E0A" w:rsidRPr="00672182" w:rsidRDefault="004F2E0A" w:rsidP="00135D9B">
      <w:pPr>
        <w:pStyle w:val="ListParagraph"/>
        <w:ind w:left="1440" w:firstLine="90"/>
        <w:rPr>
          <w:rFonts w:ascii="Times New Roman" w:hAnsi="Times New Roman" w:cs="Times New Roman"/>
          <w:sz w:val="24"/>
          <w:szCs w:val="24"/>
        </w:rPr>
      </w:pPr>
    </w:p>
    <w:p w:rsidR="00E223CD" w:rsidRDefault="00E223CD" w:rsidP="00135D9B">
      <w:pPr>
        <w:pStyle w:val="ListParagraph"/>
        <w:numPr>
          <w:ilvl w:val="3"/>
          <w:numId w:val="1"/>
        </w:numPr>
        <w:ind w:left="2160" w:hanging="630"/>
        <w:rPr>
          <w:rFonts w:ascii="Times New Roman" w:hAnsi="Times New Roman" w:cs="Times New Roman"/>
          <w:sz w:val="24"/>
          <w:szCs w:val="24"/>
        </w:rPr>
      </w:pPr>
      <w:r>
        <w:rPr>
          <w:rFonts w:ascii="Times New Roman" w:hAnsi="Times New Roman" w:cs="Times New Roman"/>
          <w:sz w:val="24"/>
          <w:szCs w:val="24"/>
        </w:rPr>
        <w:t xml:space="preserve">An inventory of all assets with item numbers and quantities will be </w:t>
      </w:r>
      <w:r w:rsidR="00135D9B">
        <w:rPr>
          <w:rFonts w:ascii="Times New Roman" w:hAnsi="Times New Roman" w:cs="Times New Roman"/>
          <w:sz w:val="24"/>
          <w:szCs w:val="24"/>
        </w:rPr>
        <w:t xml:space="preserve">  </w:t>
      </w:r>
      <w:r>
        <w:rPr>
          <w:rFonts w:ascii="Times New Roman" w:hAnsi="Times New Roman" w:cs="Times New Roman"/>
          <w:sz w:val="24"/>
          <w:szCs w:val="24"/>
        </w:rPr>
        <w:t>prepared;</w:t>
      </w:r>
    </w:p>
    <w:p w:rsidR="004F2E0A" w:rsidRPr="004F2E0A" w:rsidRDefault="004F2E0A" w:rsidP="00135D9B">
      <w:pPr>
        <w:pStyle w:val="ListParagraph"/>
        <w:ind w:firstLine="90"/>
        <w:rPr>
          <w:rFonts w:ascii="Times New Roman" w:hAnsi="Times New Roman" w:cs="Times New Roman"/>
          <w:sz w:val="24"/>
          <w:szCs w:val="24"/>
        </w:rPr>
      </w:pPr>
    </w:p>
    <w:p w:rsidR="003E168B" w:rsidRDefault="00E223CD" w:rsidP="00135D9B">
      <w:pPr>
        <w:pStyle w:val="ListParagraph"/>
        <w:numPr>
          <w:ilvl w:val="3"/>
          <w:numId w:val="1"/>
        </w:numPr>
        <w:ind w:left="2160" w:hanging="630"/>
        <w:rPr>
          <w:rFonts w:ascii="Times New Roman" w:hAnsi="Times New Roman" w:cs="Times New Roman"/>
          <w:sz w:val="24"/>
          <w:szCs w:val="24"/>
        </w:rPr>
      </w:pPr>
      <w:r>
        <w:rPr>
          <w:rFonts w:ascii="Times New Roman" w:hAnsi="Times New Roman" w:cs="Times New Roman"/>
          <w:sz w:val="24"/>
          <w:szCs w:val="24"/>
        </w:rPr>
        <w:t xml:space="preserve">All </w:t>
      </w:r>
      <w:r w:rsidR="003E168B" w:rsidRPr="00E223CD">
        <w:rPr>
          <w:rFonts w:ascii="Times New Roman" w:hAnsi="Times New Roman" w:cs="Times New Roman"/>
          <w:sz w:val="24"/>
          <w:szCs w:val="24"/>
        </w:rPr>
        <w:t>assets encumbered by the terms of a contingent g</w:t>
      </w:r>
      <w:r>
        <w:rPr>
          <w:rFonts w:ascii="Times New Roman" w:hAnsi="Times New Roman" w:cs="Times New Roman"/>
          <w:sz w:val="24"/>
          <w:szCs w:val="24"/>
        </w:rPr>
        <w:t>rant, gift or security interest will be identified;</w:t>
      </w:r>
    </w:p>
    <w:p w:rsidR="004F2E0A" w:rsidRPr="00E223CD" w:rsidRDefault="004F2E0A" w:rsidP="00135D9B">
      <w:pPr>
        <w:pStyle w:val="ListParagraph"/>
        <w:ind w:left="1440" w:firstLine="90"/>
        <w:rPr>
          <w:rFonts w:ascii="Times New Roman" w:hAnsi="Times New Roman" w:cs="Times New Roman"/>
          <w:sz w:val="24"/>
          <w:szCs w:val="24"/>
        </w:rPr>
      </w:pPr>
    </w:p>
    <w:p w:rsidR="003E168B" w:rsidRPr="00672182" w:rsidRDefault="003E168B" w:rsidP="00135D9B">
      <w:pPr>
        <w:pStyle w:val="ListParagraph"/>
        <w:numPr>
          <w:ilvl w:val="3"/>
          <w:numId w:val="1"/>
        </w:numPr>
        <w:ind w:left="1440" w:firstLine="90"/>
        <w:rPr>
          <w:rFonts w:ascii="Times New Roman" w:hAnsi="Times New Roman" w:cs="Times New Roman"/>
          <w:sz w:val="24"/>
          <w:szCs w:val="24"/>
        </w:rPr>
      </w:pPr>
      <w:r w:rsidRPr="00672182">
        <w:rPr>
          <w:rFonts w:ascii="Times New Roman" w:hAnsi="Times New Roman" w:cs="Times New Roman"/>
          <w:sz w:val="24"/>
          <w:szCs w:val="24"/>
        </w:rPr>
        <w:t xml:space="preserve">A review </w:t>
      </w:r>
      <w:r w:rsidR="004F2E0A">
        <w:rPr>
          <w:rFonts w:ascii="Times New Roman" w:hAnsi="Times New Roman" w:cs="Times New Roman"/>
          <w:sz w:val="24"/>
          <w:szCs w:val="24"/>
        </w:rPr>
        <w:t xml:space="preserve">will </w:t>
      </w:r>
      <w:r w:rsidRPr="00672182">
        <w:rPr>
          <w:rFonts w:ascii="Times New Roman" w:hAnsi="Times New Roman" w:cs="Times New Roman"/>
          <w:sz w:val="24"/>
          <w:szCs w:val="24"/>
        </w:rPr>
        <w:t xml:space="preserve">be made of all </w:t>
      </w:r>
      <w:r w:rsidR="00672182">
        <w:rPr>
          <w:rFonts w:ascii="Times New Roman" w:hAnsi="Times New Roman" w:cs="Times New Roman"/>
          <w:sz w:val="24"/>
          <w:szCs w:val="24"/>
        </w:rPr>
        <w:t xml:space="preserve">the school’s </w:t>
      </w:r>
      <w:r w:rsidRPr="00672182">
        <w:rPr>
          <w:rFonts w:ascii="Times New Roman" w:hAnsi="Times New Roman" w:cs="Times New Roman"/>
          <w:sz w:val="24"/>
          <w:szCs w:val="24"/>
        </w:rPr>
        <w:t>debts</w:t>
      </w:r>
      <w:r w:rsidR="00672182">
        <w:rPr>
          <w:rFonts w:ascii="Times New Roman" w:hAnsi="Times New Roman" w:cs="Times New Roman"/>
          <w:sz w:val="24"/>
          <w:szCs w:val="24"/>
        </w:rPr>
        <w:t xml:space="preserve">; </w:t>
      </w:r>
      <w:r w:rsidRPr="00672182">
        <w:rPr>
          <w:rFonts w:ascii="Times New Roman" w:hAnsi="Times New Roman" w:cs="Times New Roman"/>
          <w:sz w:val="24"/>
          <w:szCs w:val="24"/>
        </w:rPr>
        <w:t xml:space="preserve"> </w:t>
      </w:r>
    </w:p>
    <w:p w:rsidR="003E168B" w:rsidRPr="00146F10" w:rsidRDefault="00146F10" w:rsidP="00135D9B">
      <w:pPr>
        <w:ind w:left="2160" w:hanging="630"/>
        <w:rPr>
          <w:rFonts w:ascii="Times New Roman" w:hAnsi="Times New Roman" w:cs="Times New Roman"/>
          <w:sz w:val="24"/>
          <w:szCs w:val="24"/>
        </w:rPr>
      </w:pPr>
      <w:r>
        <w:rPr>
          <w:rFonts w:ascii="Times New Roman" w:hAnsi="Times New Roman" w:cs="Times New Roman"/>
          <w:sz w:val="24"/>
          <w:szCs w:val="24"/>
        </w:rPr>
        <w:t xml:space="preserve">5. </w:t>
      </w:r>
      <w:r w:rsidR="00135D9B">
        <w:rPr>
          <w:rFonts w:ascii="Times New Roman" w:hAnsi="Times New Roman" w:cs="Times New Roman"/>
          <w:sz w:val="24"/>
          <w:szCs w:val="24"/>
        </w:rPr>
        <w:t xml:space="preserve">       </w:t>
      </w:r>
      <w:r w:rsidR="004F2E0A">
        <w:rPr>
          <w:rFonts w:ascii="Times New Roman" w:hAnsi="Times New Roman" w:cs="Times New Roman"/>
          <w:sz w:val="24"/>
          <w:szCs w:val="24"/>
        </w:rPr>
        <w:t>A plan will</w:t>
      </w:r>
      <w:r w:rsidR="003E168B" w:rsidRPr="00146F10">
        <w:rPr>
          <w:rFonts w:ascii="Times New Roman" w:hAnsi="Times New Roman" w:cs="Times New Roman"/>
          <w:sz w:val="24"/>
          <w:szCs w:val="24"/>
        </w:rPr>
        <w:t xml:space="preserve"> be drafted that establishes how </w:t>
      </w:r>
      <w:r w:rsidR="00E223CD" w:rsidRPr="00146F10">
        <w:rPr>
          <w:rFonts w:ascii="Times New Roman" w:hAnsi="Times New Roman" w:cs="Times New Roman"/>
          <w:sz w:val="24"/>
          <w:szCs w:val="24"/>
        </w:rPr>
        <w:t xml:space="preserve">the school’s </w:t>
      </w:r>
      <w:r w:rsidR="003E168B" w:rsidRPr="00146F10">
        <w:rPr>
          <w:rFonts w:ascii="Times New Roman" w:hAnsi="Times New Roman" w:cs="Times New Roman"/>
          <w:sz w:val="24"/>
          <w:szCs w:val="24"/>
        </w:rPr>
        <w:t>debts should be paid and in what order of priority.</w:t>
      </w:r>
    </w:p>
    <w:p w:rsidR="007D19AD" w:rsidRDefault="007D19AD" w:rsidP="007D19AD">
      <w:pPr>
        <w:pStyle w:val="ListParagraph"/>
        <w:ind w:left="1800"/>
        <w:rPr>
          <w:rFonts w:ascii="Times New Roman" w:hAnsi="Times New Roman" w:cs="Times New Roman"/>
          <w:sz w:val="24"/>
          <w:szCs w:val="24"/>
        </w:rPr>
      </w:pPr>
    </w:p>
    <w:p w:rsidR="007D19AD" w:rsidRPr="00672182" w:rsidRDefault="00135D9B" w:rsidP="00135D9B">
      <w:pPr>
        <w:pStyle w:val="ListParagraph"/>
        <w:numPr>
          <w:ilvl w:val="1"/>
          <w:numId w:val="1"/>
        </w:numPr>
        <w:ind w:hanging="810"/>
        <w:rPr>
          <w:rFonts w:ascii="Times New Roman" w:hAnsi="Times New Roman" w:cs="Times New Roman"/>
          <w:b/>
          <w:sz w:val="24"/>
          <w:szCs w:val="24"/>
        </w:rPr>
      </w:pPr>
      <w:r w:rsidRPr="00672182">
        <w:rPr>
          <w:rFonts w:ascii="Times New Roman" w:hAnsi="Times New Roman" w:cs="Times New Roman"/>
          <w:b/>
          <w:sz w:val="24"/>
          <w:szCs w:val="24"/>
        </w:rPr>
        <w:t>Considerations for determining priority of creditor payments.</w:t>
      </w:r>
    </w:p>
    <w:p w:rsidR="007D19AD" w:rsidRDefault="007D19AD" w:rsidP="007D19AD">
      <w:pPr>
        <w:pStyle w:val="ListParagraph"/>
        <w:ind w:left="630"/>
        <w:rPr>
          <w:rFonts w:ascii="Times New Roman" w:hAnsi="Times New Roman" w:cs="Times New Roman"/>
          <w:b/>
          <w:sz w:val="24"/>
          <w:szCs w:val="24"/>
        </w:rPr>
      </w:pPr>
    </w:p>
    <w:p w:rsidR="007D19AD" w:rsidRPr="004F2E0A" w:rsidRDefault="007D19AD" w:rsidP="004505A1">
      <w:pPr>
        <w:pStyle w:val="ListParagraph"/>
        <w:numPr>
          <w:ilvl w:val="0"/>
          <w:numId w:val="8"/>
        </w:numPr>
        <w:ind w:left="2160" w:hanging="720"/>
        <w:rPr>
          <w:rFonts w:ascii="Times New Roman" w:hAnsi="Times New Roman" w:cs="Times New Roman"/>
          <w:sz w:val="24"/>
          <w:szCs w:val="24"/>
        </w:rPr>
      </w:pPr>
      <w:r w:rsidRPr="004F2E0A">
        <w:rPr>
          <w:rFonts w:ascii="Times New Roman" w:hAnsi="Times New Roman" w:cs="Times New Roman"/>
          <w:b/>
          <w:sz w:val="24"/>
          <w:szCs w:val="24"/>
        </w:rPr>
        <w:t>Wages</w:t>
      </w:r>
      <w:r w:rsidRPr="004F2E0A">
        <w:rPr>
          <w:rFonts w:ascii="Times New Roman" w:hAnsi="Times New Roman" w:cs="Times New Roman"/>
          <w:sz w:val="24"/>
          <w:szCs w:val="24"/>
        </w:rPr>
        <w:t>. Minnesota law contains significant penalties when public service employers do not make t</w:t>
      </w:r>
      <w:r w:rsidR="004F2E0A" w:rsidRPr="004F2E0A">
        <w:rPr>
          <w:rFonts w:ascii="Times New Roman" w:hAnsi="Times New Roman" w:cs="Times New Roman"/>
          <w:sz w:val="24"/>
          <w:szCs w:val="24"/>
        </w:rPr>
        <w:t xml:space="preserve">imely wage payments.  Thus the </w:t>
      </w:r>
      <w:r w:rsidR="004505A1">
        <w:rPr>
          <w:rFonts w:ascii="Times New Roman" w:hAnsi="Times New Roman" w:cs="Times New Roman"/>
          <w:sz w:val="24"/>
          <w:szCs w:val="24"/>
        </w:rPr>
        <w:t xml:space="preserve">wind-up committee </w:t>
      </w:r>
      <w:r w:rsidRPr="004F2E0A">
        <w:rPr>
          <w:rFonts w:ascii="Times New Roman" w:hAnsi="Times New Roman" w:cs="Times New Roman"/>
          <w:sz w:val="24"/>
          <w:szCs w:val="24"/>
        </w:rPr>
        <w:t>will ensure that all outstanding wages are paid.</w:t>
      </w:r>
    </w:p>
    <w:p w:rsidR="007D19AD" w:rsidRDefault="007D19AD" w:rsidP="004505A1">
      <w:pPr>
        <w:pStyle w:val="BodyTextIndent"/>
        <w:numPr>
          <w:ilvl w:val="0"/>
          <w:numId w:val="8"/>
        </w:numPr>
        <w:ind w:left="2250" w:hanging="720"/>
        <w:contextualSpacing/>
        <w:jc w:val="both"/>
      </w:pPr>
      <w:r w:rsidRPr="00E223CD">
        <w:rPr>
          <w:b/>
        </w:rPr>
        <w:t>Special purpose</w:t>
      </w:r>
      <w:r>
        <w:t>.  Minnesota Non-Profit law also requires the school to determine whether it has assets that were provided for a “special purpose”.</w:t>
      </w:r>
      <w:r w:rsidR="00672182">
        <w:t xml:space="preserve"> </w:t>
      </w:r>
      <w:r>
        <w:t xml:space="preserve">The wind up committee must ensure that those assets are used only to pay for the specific purpose.  </w:t>
      </w:r>
    </w:p>
    <w:p w:rsidR="007D19AD" w:rsidRDefault="007D19AD" w:rsidP="004505A1">
      <w:pPr>
        <w:pStyle w:val="BodyTextIndent"/>
        <w:ind w:left="2250" w:hanging="720"/>
        <w:contextualSpacing/>
        <w:jc w:val="both"/>
      </w:pPr>
    </w:p>
    <w:p w:rsidR="007D19AD" w:rsidRDefault="007D19AD" w:rsidP="004505A1">
      <w:pPr>
        <w:pStyle w:val="BodyTextIndent"/>
        <w:numPr>
          <w:ilvl w:val="0"/>
          <w:numId w:val="8"/>
        </w:numPr>
        <w:tabs>
          <w:tab w:val="left" w:pos="0"/>
        </w:tabs>
        <w:ind w:left="2250" w:hanging="720"/>
        <w:contextualSpacing/>
        <w:jc w:val="both"/>
      </w:pPr>
      <w:r w:rsidRPr="007D19AD">
        <w:rPr>
          <w:b/>
        </w:rPr>
        <w:t>Federal funds.</w:t>
      </w:r>
      <w:r>
        <w:t xml:space="preserve">  The wind up committee will review the Federal Official Grant Award Notification to determine which federal funds the school may have received. (Federally-purchased property may not be sold to pay creditors, and must either be returned to the Department of Education or distributed for similar use to another eligible entity, depending on the type of program under which funds were received). </w:t>
      </w:r>
    </w:p>
    <w:p w:rsidR="004505A1" w:rsidRDefault="004505A1" w:rsidP="004505A1">
      <w:pPr>
        <w:pStyle w:val="BodyTextIndent"/>
        <w:tabs>
          <w:tab w:val="left" w:pos="0"/>
        </w:tabs>
        <w:ind w:left="1530" w:firstLine="0"/>
        <w:contextualSpacing/>
        <w:jc w:val="both"/>
      </w:pPr>
    </w:p>
    <w:p w:rsidR="007D19AD" w:rsidRDefault="007D19AD" w:rsidP="004505A1">
      <w:pPr>
        <w:pStyle w:val="ListParagraph"/>
        <w:numPr>
          <w:ilvl w:val="0"/>
          <w:numId w:val="8"/>
        </w:numPr>
        <w:shd w:val="clear" w:color="auto" w:fill="FFFFFF"/>
        <w:tabs>
          <w:tab w:val="left" w:pos="2250"/>
        </w:tabs>
        <w:spacing w:after="0" w:line="240" w:lineRule="auto"/>
        <w:ind w:left="2250" w:hanging="720"/>
        <w:jc w:val="both"/>
      </w:pPr>
      <w:r w:rsidRPr="007D19AD">
        <w:rPr>
          <w:rFonts w:ascii="Times New Roman" w:hAnsi="Times New Roman" w:cs="Times New Roman"/>
          <w:b/>
          <w:sz w:val="24"/>
          <w:szCs w:val="24"/>
        </w:rPr>
        <w:t>TRA.</w:t>
      </w:r>
      <w:r w:rsidRPr="007D19AD">
        <w:rPr>
          <w:rFonts w:ascii="Times New Roman" w:hAnsi="Times New Roman" w:cs="Times New Roman"/>
          <w:sz w:val="24"/>
          <w:szCs w:val="24"/>
        </w:rPr>
        <w:t xml:space="preserve">  The Board </w:t>
      </w:r>
      <w:r>
        <w:rPr>
          <w:rFonts w:ascii="Times New Roman" w:hAnsi="Times New Roman" w:cs="Times New Roman"/>
          <w:sz w:val="24"/>
          <w:szCs w:val="24"/>
        </w:rPr>
        <w:t xml:space="preserve">must </w:t>
      </w:r>
      <w:r w:rsidRPr="007D19AD">
        <w:rPr>
          <w:rFonts w:ascii="Times New Roman" w:hAnsi="Times New Roman" w:cs="Times New Roman"/>
          <w:sz w:val="24"/>
          <w:szCs w:val="24"/>
        </w:rPr>
        <w:t xml:space="preserve">ensure that the Teachers’ Retirement Association obligations are met pursuant to Minnesota Statutes, chapter 354 and the Board will </w:t>
      </w:r>
      <w:r>
        <w:t xml:space="preserve">cover staff payroll and benefits as outlined in the school’s employee contracts.   </w:t>
      </w:r>
    </w:p>
    <w:p w:rsidR="007D19AD" w:rsidRDefault="007D19AD" w:rsidP="007D19AD">
      <w:pPr>
        <w:shd w:val="clear" w:color="auto" w:fill="FFFFFF"/>
        <w:spacing w:after="0" w:line="240" w:lineRule="auto"/>
        <w:jc w:val="both"/>
      </w:pPr>
    </w:p>
    <w:p w:rsidR="00B13E42" w:rsidRPr="00B13E42" w:rsidRDefault="004505A1" w:rsidP="00B13E42">
      <w:pPr>
        <w:pStyle w:val="ListParagraph"/>
        <w:numPr>
          <w:ilvl w:val="1"/>
          <w:numId w:val="1"/>
        </w:numPr>
        <w:shd w:val="clear" w:color="auto" w:fill="FFFFFF"/>
        <w:spacing w:after="0" w:line="240" w:lineRule="auto"/>
        <w:ind w:left="720" w:hanging="90"/>
        <w:jc w:val="both"/>
        <w:rPr>
          <w:rFonts w:ascii="Times New Roman" w:hAnsi="Times New Roman" w:cs="Times New Roman"/>
          <w:sz w:val="24"/>
          <w:szCs w:val="24"/>
        </w:rPr>
      </w:pPr>
      <w:r w:rsidRPr="00B13E42">
        <w:rPr>
          <w:rFonts w:ascii="Times New Roman" w:hAnsi="Times New Roman" w:cs="Times New Roman"/>
          <w:b/>
          <w:sz w:val="24"/>
          <w:szCs w:val="24"/>
        </w:rPr>
        <w:t xml:space="preserve">Determination of </w:t>
      </w:r>
      <w:r w:rsidR="003E168B" w:rsidRPr="00B13E42">
        <w:rPr>
          <w:rFonts w:ascii="Times New Roman" w:hAnsi="Times New Roman" w:cs="Times New Roman"/>
          <w:b/>
          <w:sz w:val="24"/>
          <w:szCs w:val="24"/>
        </w:rPr>
        <w:t>priority of creditor payments</w:t>
      </w:r>
      <w:r w:rsidRPr="00B13E42">
        <w:rPr>
          <w:rFonts w:ascii="Times New Roman" w:hAnsi="Times New Roman" w:cs="Times New Roman"/>
          <w:b/>
          <w:sz w:val="24"/>
          <w:szCs w:val="24"/>
        </w:rPr>
        <w:t xml:space="preserve"> and </w:t>
      </w:r>
      <w:r w:rsidR="003E168B" w:rsidRPr="00B13E42">
        <w:rPr>
          <w:rFonts w:ascii="Times New Roman" w:hAnsi="Times New Roman" w:cs="Times New Roman"/>
          <w:b/>
          <w:sz w:val="24"/>
          <w:szCs w:val="24"/>
        </w:rPr>
        <w:t>distribution plan.</w:t>
      </w:r>
    </w:p>
    <w:p w:rsidR="00B13E42" w:rsidRPr="00B13E42" w:rsidRDefault="00B13E42" w:rsidP="00B13E42">
      <w:pPr>
        <w:pStyle w:val="ListParagraph"/>
        <w:shd w:val="clear" w:color="auto" w:fill="FFFFFF"/>
        <w:spacing w:after="0" w:line="240" w:lineRule="auto"/>
        <w:ind w:left="1440"/>
        <w:jc w:val="both"/>
        <w:rPr>
          <w:rFonts w:ascii="Times New Roman" w:hAnsi="Times New Roman" w:cs="Times New Roman"/>
          <w:sz w:val="24"/>
          <w:szCs w:val="24"/>
        </w:rPr>
      </w:pPr>
    </w:p>
    <w:p w:rsidR="00E223CD" w:rsidRPr="004505A1" w:rsidRDefault="00E223CD" w:rsidP="004505A1">
      <w:pPr>
        <w:ind w:left="720" w:firstLine="720"/>
        <w:rPr>
          <w:rFonts w:ascii="Times New Roman" w:hAnsi="Times New Roman" w:cs="Times New Roman"/>
          <w:sz w:val="24"/>
          <w:szCs w:val="24"/>
        </w:rPr>
      </w:pPr>
      <w:r w:rsidRPr="004505A1">
        <w:rPr>
          <w:rFonts w:ascii="Times New Roman" w:hAnsi="Times New Roman" w:cs="Times New Roman"/>
          <w:sz w:val="24"/>
          <w:szCs w:val="24"/>
        </w:rPr>
        <w:t xml:space="preserve">The school’s plan will, </w:t>
      </w:r>
      <w:r w:rsidR="003E168B" w:rsidRPr="004505A1">
        <w:rPr>
          <w:rFonts w:ascii="Times New Roman" w:hAnsi="Times New Roman" w:cs="Times New Roman"/>
          <w:sz w:val="24"/>
          <w:szCs w:val="24"/>
        </w:rPr>
        <w:t>at a minimum provide for the</w:t>
      </w:r>
      <w:r w:rsidRPr="004505A1">
        <w:rPr>
          <w:rFonts w:ascii="Times New Roman" w:hAnsi="Times New Roman" w:cs="Times New Roman"/>
          <w:sz w:val="24"/>
          <w:szCs w:val="24"/>
        </w:rPr>
        <w:t xml:space="preserve"> following</w:t>
      </w:r>
      <w:r w:rsidR="00672182" w:rsidRPr="004505A1">
        <w:rPr>
          <w:rFonts w:ascii="Times New Roman" w:hAnsi="Times New Roman" w:cs="Times New Roman"/>
          <w:sz w:val="24"/>
          <w:szCs w:val="24"/>
        </w:rPr>
        <w:t xml:space="preserve"> priorities: </w:t>
      </w:r>
      <w:r w:rsidR="003E168B" w:rsidRPr="004505A1">
        <w:rPr>
          <w:rFonts w:ascii="Times New Roman" w:hAnsi="Times New Roman" w:cs="Times New Roman"/>
          <w:sz w:val="24"/>
          <w:szCs w:val="24"/>
        </w:rPr>
        <w:t xml:space="preserve"> </w:t>
      </w:r>
    </w:p>
    <w:p w:rsidR="003E168B" w:rsidRPr="004505A1" w:rsidRDefault="004505A1" w:rsidP="00B13E42">
      <w:pPr>
        <w:tabs>
          <w:tab w:val="left" w:pos="2340"/>
        </w:tabs>
        <w:ind w:left="2700" w:hanging="540"/>
        <w:rPr>
          <w:rFonts w:ascii="Times New Roman" w:hAnsi="Times New Roman" w:cs="Times New Roman"/>
          <w:sz w:val="24"/>
          <w:szCs w:val="24"/>
        </w:rPr>
      </w:pPr>
      <w:r>
        <w:rPr>
          <w:rFonts w:ascii="Times New Roman" w:hAnsi="Times New Roman" w:cs="Times New Roman"/>
          <w:sz w:val="24"/>
          <w:szCs w:val="24"/>
        </w:rPr>
        <w:t>1.      D</w:t>
      </w:r>
      <w:r w:rsidR="003E168B" w:rsidRPr="004505A1">
        <w:rPr>
          <w:rFonts w:ascii="Times New Roman" w:hAnsi="Times New Roman" w:cs="Times New Roman"/>
          <w:sz w:val="24"/>
          <w:szCs w:val="24"/>
        </w:rPr>
        <w:t>istribution of assets received and held for</w:t>
      </w:r>
      <w:r w:rsidR="002717B6">
        <w:rPr>
          <w:rFonts w:ascii="Times New Roman" w:hAnsi="Times New Roman" w:cs="Times New Roman"/>
          <w:sz w:val="24"/>
          <w:szCs w:val="24"/>
        </w:rPr>
        <w:t xml:space="preserve"> a special use or purpose as defined by Minnesota Statutes section 317A.735 subd.2;</w:t>
      </w:r>
    </w:p>
    <w:p w:rsidR="003E168B" w:rsidRDefault="004505A1" w:rsidP="00B13E42">
      <w:pPr>
        <w:ind w:left="2700" w:hanging="540"/>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t>P</w:t>
      </w:r>
      <w:r w:rsidR="003E168B">
        <w:rPr>
          <w:rFonts w:ascii="Times New Roman" w:hAnsi="Times New Roman" w:cs="Times New Roman"/>
          <w:sz w:val="24"/>
          <w:szCs w:val="24"/>
        </w:rPr>
        <w:t>ayment of costs and expenses of the dissolution proceedings, including attorney fees and disbursements;</w:t>
      </w:r>
    </w:p>
    <w:p w:rsidR="003E168B" w:rsidRDefault="00B13E42" w:rsidP="004505A1">
      <w:pPr>
        <w:ind w:left="1440" w:firstLine="720"/>
        <w:rPr>
          <w:rFonts w:ascii="Times New Roman" w:hAnsi="Times New Roman" w:cs="Times New Roman"/>
          <w:sz w:val="24"/>
          <w:szCs w:val="24"/>
        </w:rPr>
      </w:pPr>
      <w:r>
        <w:rPr>
          <w:rFonts w:ascii="Times New Roman" w:hAnsi="Times New Roman" w:cs="Times New Roman"/>
          <w:sz w:val="24"/>
          <w:szCs w:val="24"/>
        </w:rPr>
        <w:t xml:space="preserve">3.      </w:t>
      </w:r>
      <w:r w:rsidR="004505A1">
        <w:rPr>
          <w:rFonts w:ascii="Times New Roman" w:hAnsi="Times New Roman" w:cs="Times New Roman"/>
          <w:sz w:val="24"/>
          <w:szCs w:val="24"/>
        </w:rPr>
        <w:t>P</w:t>
      </w:r>
      <w:r w:rsidR="003E168B">
        <w:rPr>
          <w:rFonts w:ascii="Times New Roman" w:hAnsi="Times New Roman" w:cs="Times New Roman"/>
          <w:sz w:val="24"/>
          <w:szCs w:val="24"/>
        </w:rPr>
        <w:t>ayment of debts, obligations, and liabilities of the</w:t>
      </w:r>
      <w:r w:rsidR="00E223CD">
        <w:rPr>
          <w:rFonts w:ascii="Times New Roman" w:hAnsi="Times New Roman" w:cs="Times New Roman"/>
          <w:sz w:val="24"/>
          <w:szCs w:val="24"/>
        </w:rPr>
        <w:t xml:space="preserve"> school</w:t>
      </w:r>
      <w:r w:rsidR="003E168B">
        <w:rPr>
          <w:rFonts w:ascii="Times New Roman" w:hAnsi="Times New Roman" w:cs="Times New Roman"/>
          <w:sz w:val="24"/>
          <w:szCs w:val="24"/>
        </w:rPr>
        <w:t>;</w:t>
      </w:r>
    </w:p>
    <w:p w:rsidR="003E168B" w:rsidRDefault="00B13E42" w:rsidP="002717B6">
      <w:pPr>
        <w:ind w:left="2790" w:hanging="630"/>
        <w:rPr>
          <w:rFonts w:ascii="Times New Roman" w:hAnsi="Times New Roman" w:cs="Times New Roman"/>
          <w:sz w:val="24"/>
          <w:szCs w:val="24"/>
        </w:rPr>
      </w:pPr>
      <w:r>
        <w:rPr>
          <w:rFonts w:ascii="Times New Roman" w:hAnsi="Times New Roman" w:cs="Times New Roman"/>
          <w:sz w:val="24"/>
          <w:szCs w:val="24"/>
        </w:rPr>
        <w:t xml:space="preserve">4.       </w:t>
      </w:r>
      <w:r w:rsidR="004505A1">
        <w:rPr>
          <w:rFonts w:ascii="Times New Roman" w:hAnsi="Times New Roman" w:cs="Times New Roman"/>
          <w:sz w:val="24"/>
          <w:szCs w:val="24"/>
        </w:rPr>
        <w:t>D</w:t>
      </w:r>
      <w:r w:rsidR="003E168B">
        <w:rPr>
          <w:rFonts w:ascii="Times New Roman" w:hAnsi="Times New Roman" w:cs="Times New Roman"/>
          <w:sz w:val="24"/>
          <w:szCs w:val="24"/>
        </w:rPr>
        <w:t>istribution of assets pursuant to artic</w:t>
      </w:r>
      <w:r w:rsidR="002717B6">
        <w:rPr>
          <w:rFonts w:ascii="Times New Roman" w:hAnsi="Times New Roman" w:cs="Times New Roman"/>
          <w:sz w:val="24"/>
          <w:szCs w:val="24"/>
        </w:rPr>
        <w:t>les or bylaws of the school.</w:t>
      </w:r>
    </w:p>
    <w:p w:rsidR="003E168B" w:rsidRPr="004505A1" w:rsidRDefault="004505A1" w:rsidP="00E40D52">
      <w:pPr>
        <w:pStyle w:val="ListParagraph"/>
        <w:numPr>
          <w:ilvl w:val="1"/>
          <w:numId w:val="1"/>
        </w:numPr>
        <w:ind w:left="1350" w:hanging="630"/>
        <w:rPr>
          <w:rFonts w:ascii="Times New Roman" w:hAnsi="Times New Roman" w:cs="Times New Roman"/>
          <w:sz w:val="24"/>
          <w:szCs w:val="24"/>
        </w:rPr>
      </w:pPr>
      <w:r>
        <w:rPr>
          <w:rFonts w:ascii="Times New Roman" w:hAnsi="Times New Roman" w:cs="Times New Roman"/>
          <w:b/>
          <w:sz w:val="24"/>
          <w:szCs w:val="24"/>
        </w:rPr>
        <w:t xml:space="preserve"> </w:t>
      </w:r>
      <w:r w:rsidR="003E168B" w:rsidRPr="004505A1">
        <w:rPr>
          <w:rFonts w:ascii="Times New Roman" w:hAnsi="Times New Roman" w:cs="Times New Roman"/>
          <w:b/>
          <w:sz w:val="24"/>
          <w:szCs w:val="24"/>
        </w:rPr>
        <w:t>45 Day waiting period</w:t>
      </w:r>
      <w:r w:rsidR="003E168B" w:rsidRPr="004505A1">
        <w:rPr>
          <w:rFonts w:ascii="Times New Roman" w:hAnsi="Times New Roman" w:cs="Times New Roman"/>
          <w:sz w:val="24"/>
          <w:szCs w:val="24"/>
        </w:rPr>
        <w:t xml:space="preserve">.  Filing the Notice of Intent to </w:t>
      </w:r>
      <w:proofErr w:type="gramStart"/>
      <w:r w:rsidR="003E168B" w:rsidRPr="004505A1">
        <w:rPr>
          <w:rFonts w:ascii="Times New Roman" w:hAnsi="Times New Roman" w:cs="Times New Roman"/>
          <w:sz w:val="24"/>
          <w:szCs w:val="24"/>
        </w:rPr>
        <w:t>Dissolve</w:t>
      </w:r>
      <w:proofErr w:type="gramEnd"/>
      <w:r w:rsidR="003E168B" w:rsidRPr="004505A1">
        <w:rPr>
          <w:rFonts w:ascii="Times New Roman" w:hAnsi="Times New Roman" w:cs="Times New Roman"/>
          <w:sz w:val="24"/>
          <w:szCs w:val="24"/>
        </w:rPr>
        <w:t xml:space="preserve"> triggers a 45 day waiting period.  During that time </w:t>
      </w:r>
      <w:r w:rsidR="00672182" w:rsidRPr="004505A1">
        <w:rPr>
          <w:rFonts w:ascii="Times New Roman" w:hAnsi="Times New Roman" w:cs="Times New Roman"/>
          <w:sz w:val="24"/>
          <w:szCs w:val="24"/>
        </w:rPr>
        <w:t xml:space="preserve">the school </w:t>
      </w:r>
      <w:r w:rsidR="00B13E42">
        <w:rPr>
          <w:rFonts w:ascii="Times New Roman" w:hAnsi="Times New Roman" w:cs="Times New Roman"/>
          <w:sz w:val="24"/>
          <w:szCs w:val="24"/>
        </w:rPr>
        <w:t xml:space="preserve">will </w:t>
      </w:r>
      <w:r w:rsidR="003E168B" w:rsidRPr="004505A1">
        <w:rPr>
          <w:rFonts w:ascii="Times New Roman" w:hAnsi="Times New Roman" w:cs="Times New Roman"/>
          <w:sz w:val="24"/>
          <w:szCs w:val="24"/>
        </w:rPr>
        <w:t xml:space="preserve">not transfer or convey any assets. </w:t>
      </w:r>
    </w:p>
    <w:p w:rsidR="003E168B" w:rsidRDefault="003E168B" w:rsidP="003E168B">
      <w:pPr>
        <w:pStyle w:val="ListParagraph"/>
        <w:rPr>
          <w:rFonts w:ascii="Times New Roman" w:hAnsi="Times New Roman" w:cs="Times New Roman"/>
          <w:b/>
          <w:sz w:val="24"/>
          <w:szCs w:val="24"/>
        </w:rPr>
      </w:pPr>
    </w:p>
    <w:p w:rsidR="00672182" w:rsidRPr="00B13E42" w:rsidRDefault="003E168B" w:rsidP="00B13E42">
      <w:pPr>
        <w:pStyle w:val="ListParagraph"/>
        <w:numPr>
          <w:ilvl w:val="1"/>
          <w:numId w:val="1"/>
        </w:numPr>
        <w:ind w:hanging="720"/>
        <w:rPr>
          <w:rFonts w:ascii="Times New Roman" w:hAnsi="Times New Roman" w:cs="Times New Roman"/>
          <w:sz w:val="24"/>
          <w:szCs w:val="24"/>
        </w:rPr>
      </w:pPr>
      <w:r w:rsidRPr="00B13E42">
        <w:rPr>
          <w:rFonts w:ascii="Times New Roman" w:hAnsi="Times New Roman" w:cs="Times New Roman"/>
          <w:b/>
          <w:sz w:val="24"/>
          <w:szCs w:val="24"/>
        </w:rPr>
        <w:t>Notice to creditors</w:t>
      </w:r>
      <w:r w:rsidRPr="00B13E42">
        <w:rPr>
          <w:rFonts w:ascii="Times New Roman" w:hAnsi="Times New Roman" w:cs="Times New Roman"/>
          <w:sz w:val="24"/>
          <w:szCs w:val="24"/>
        </w:rPr>
        <w:t xml:space="preserve">.  After </w:t>
      </w:r>
      <w:r w:rsidR="007D19AD" w:rsidRPr="00B13E42">
        <w:rPr>
          <w:rFonts w:ascii="Times New Roman" w:hAnsi="Times New Roman" w:cs="Times New Roman"/>
          <w:sz w:val="24"/>
          <w:szCs w:val="24"/>
        </w:rPr>
        <w:t xml:space="preserve">the Notice of Intent to </w:t>
      </w:r>
      <w:proofErr w:type="gramStart"/>
      <w:r w:rsidR="007D19AD" w:rsidRPr="00B13E42">
        <w:rPr>
          <w:rFonts w:ascii="Times New Roman" w:hAnsi="Times New Roman" w:cs="Times New Roman"/>
          <w:sz w:val="24"/>
          <w:szCs w:val="24"/>
        </w:rPr>
        <w:t>Dissolve</w:t>
      </w:r>
      <w:proofErr w:type="gramEnd"/>
      <w:r w:rsidR="007D19AD" w:rsidRPr="00B13E42">
        <w:rPr>
          <w:rFonts w:ascii="Times New Roman" w:hAnsi="Times New Roman" w:cs="Times New Roman"/>
          <w:sz w:val="24"/>
          <w:szCs w:val="24"/>
        </w:rPr>
        <w:t xml:space="preserve"> has been filed with the Secretary of State, the legal representative should give notice of this filing </w:t>
      </w:r>
      <w:r w:rsidRPr="00B13E42">
        <w:rPr>
          <w:rFonts w:ascii="Times New Roman" w:hAnsi="Times New Roman" w:cs="Times New Roman"/>
          <w:sz w:val="24"/>
          <w:szCs w:val="24"/>
        </w:rPr>
        <w:t xml:space="preserve">to each creditor of and claimant against the </w:t>
      </w:r>
      <w:r w:rsidR="00672182" w:rsidRPr="00B13E42">
        <w:rPr>
          <w:rFonts w:ascii="Times New Roman" w:hAnsi="Times New Roman" w:cs="Times New Roman"/>
          <w:sz w:val="24"/>
          <w:szCs w:val="24"/>
        </w:rPr>
        <w:t xml:space="preserve">school, </w:t>
      </w:r>
      <w:r w:rsidRPr="00B13E42">
        <w:rPr>
          <w:rFonts w:ascii="Times New Roman" w:hAnsi="Times New Roman" w:cs="Times New Roman"/>
          <w:sz w:val="24"/>
          <w:szCs w:val="24"/>
        </w:rPr>
        <w:t>known or unknown, present or future, and contingent or non</w:t>
      </w:r>
      <w:r w:rsidR="00B13E42">
        <w:rPr>
          <w:rFonts w:ascii="Times New Roman" w:hAnsi="Times New Roman" w:cs="Times New Roman"/>
          <w:sz w:val="24"/>
          <w:szCs w:val="24"/>
        </w:rPr>
        <w:t>-</w:t>
      </w:r>
      <w:r w:rsidRPr="00B13E42">
        <w:rPr>
          <w:rFonts w:ascii="Times New Roman" w:hAnsi="Times New Roman" w:cs="Times New Roman"/>
          <w:sz w:val="24"/>
          <w:szCs w:val="24"/>
        </w:rPr>
        <w:t xml:space="preserve">contingent. </w:t>
      </w:r>
    </w:p>
    <w:p w:rsidR="00672182" w:rsidRPr="00672182" w:rsidRDefault="00672182" w:rsidP="00672182">
      <w:pPr>
        <w:pStyle w:val="ListParagraph"/>
        <w:rPr>
          <w:rFonts w:ascii="Times New Roman" w:hAnsi="Times New Roman" w:cs="Times New Roman"/>
          <w:sz w:val="24"/>
          <w:szCs w:val="24"/>
        </w:rPr>
      </w:pPr>
    </w:p>
    <w:p w:rsidR="003E168B" w:rsidRPr="00672182" w:rsidRDefault="00B13E42" w:rsidP="00E40D52">
      <w:pPr>
        <w:pStyle w:val="ListParagraph"/>
        <w:numPr>
          <w:ilvl w:val="2"/>
          <w:numId w:val="1"/>
        </w:numPr>
        <w:ind w:left="2250" w:hanging="810"/>
        <w:rPr>
          <w:rFonts w:ascii="Times New Roman" w:hAnsi="Times New Roman" w:cs="Times New Roman"/>
          <w:sz w:val="24"/>
          <w:szCs w:val="24"/>
        </w:rPr>
      </w:pPr>
      <w:r>
        <w:rPr>
          <w:rFonts w:ascii="Times New Roman" w:hAnsi="Times New Roman" w:cs="Times New Roman"/>
          <w:b/>
          <w:sz w:val="24"/>
          <w:szCs w:val="24"/>
        </w:rPr>
        <w:t>Publication of notice.</w:t>
      </w:r>
      <w:r w:rsidRPr="00B13E42">
        <w:rPr>
          <w:rFonts w:ascii="Times New Roman" w:hAnsi="Times New Roman" w:cs="Times New Roman"/>
          <w:b/>
          <w:sz w:val="24"/>
          <w:szCs w:val="24"/>
        </w:rPr>
        <w:t xml:space="preserve">  </w:t>
      </w:r>
      <w:r w:rsidR="003E168B" w:rsidRPr="00672182">
        <w:rPr>
          <w:rFonts w:ascii="Times New Roman" w:hAnsi="Times New Roman" w:cs="Times New Roman"/>
          <w:sz w:val="24"/>
          <w:szCs w:val="24"/>
        </w:rPr>
        <w:t xml:space="preserve">If notice to creditors and claimants is given, it must be given by publishing the notice once each week for four successive weeks in a legal newspaper in the county where the registered office of the corporation is located and by giving written notice to known creditors and claimants under </w:t>
      </w:r>
      <w:r w:rsidR="00E40D52">
        <w:rPr>
          <w:rFonts w:ascii="Times New Roman" w:hAnsi="Times New Roman" w:cs="Times New Roman"/>
          <w:sz w:val="24"/>
          <w:szCs w:val="24"/>
        </w:rPr>
        <w:t xml:space="preserve">Minnesota Statutes </w:t>
      </w:r>
      <w:r w:rsidR="003E168B" w:rsidRPr="00672182">
        <w:rPr>
          <w:rFonts w:ascii="Times New Roman" w:hAnsi="Times New Roman" w:cs="Times New Roman"/>
          <w:sz w:val="24"/>
          <w:szCs w:val="24"/>
        </w:rPr>
        <w:t>section 317A.011, subdivision 14.</w:t>
      </w:r>
    </w:p>
    <w:p w:rsidR="003E168B" w:rsidRDefault="003E168B" w:rsidP="003E168B">
      <w:pPr>
        <w:autoSpaceDE w:val="0"/>
        <w:autoSpaceDN w:val="0"/>
        <w:adjustRightInd w:val="0"/>
        <w:spacing w:after="0" w:line="240" w:lineRule="auto"/>
        <w:ind w:left="450"/>
        <w:rPr>
          <w:rFonts w:ascii="Times New Roman" w:hAnsi="Times New Roman" w:cs="Times New Roman"/>
          <w:sz w:val="24"/>
          <w:szCs w:val="24"/>
        </w:rPr>
      </w:pPr>
    </w:p>
    <w:p w:rsidR="003E168B" w:rsidRPr="00B13E42" w:rsidRDefault="00B13E42" w:rsidP="00B13E42">
      <w:pPr>
        <w:pStyle w:val="ListParagraph"/>
        <w:numPr>
          <w:ilvl w:val="2"/>
          <w:numId w:val="1"/>
        </w:numPr>
        <w:autoSpaceDE w:val="0"/>
        <w:autoSpaceDN w:val="0"/>
        <w:adjustRightInd w:val="0"/>
        <w:spacing w:after="0" w:line="240" w:lineRule="auto"/>
        <w:ind w:firstLine="90"/>
        <w:rPr>
          <w:rFonts w:ascii="Times New Roman" w:hAnsi="Times New Roman" w:cs="Times New Roman"/>
          <w:sz w:val="24"/>
          <w:szCs w:val="24"/>
        </w:rPr>
      </w:pPr>
      <w:r w:rsidRPr="00B13E42">
        <w:rPr>
          <w:rFonts w:ascii="Times New Roman" w:hAnsi="Times New Roman" w:cs="Times New Roman"/>
          <w:b/>
          <w:bCs/>
          <w:sz w:val="24"/>
          <w:szCs w:val="24"/>
        </w:rPr>
        <w:t xml:space="preserve">Contents of notice.  </w:t>
      </w:r>
      <w:r w:rsidR="003E168B" w:rsidRPr="00B13E42">
        <w:rPr>
          <w:rFonts w:ascii="Times New Roman" w:hAnsi="Times New Roman" w:cs="Times New Roman"/>
          <w:sz w:val="24"/>
          <w:szCs w:val="24"/>
        </w:rPr>
        <w:t>The notice to creditors and claimants must contain:</w:t>
      </w:r>
    </w:p>
    <w:p w:rsidR="00B13E42" w:rsidRPr="00B13E42" w:rsidRDefault="00B13E42" w:rsidP="00B13E42">
      <w:pPr>
        <w:pStyle w:val="ListParagraph"/>
        <w:ind w:left="1080"/>
        <w:rPr>
          <w:rFonts w:ascii="Times New Roman" w:hAnsi="Times New Roman" w:cs="Times New Roman"/>
          <w:sz w:val="24"/>
          <w:szCs w:val="24"/>
        </w:rPr>
      </w:pPr>
    </w:p>
    <w:p w:rsidR="003E168B" w:rsidRDefault="00B13E42" w:rsidP="00B13E42">
      <w:pPr>
        <w:autoSpaceDE w:val="0"/>
        <w:autoSpaceDN w:val="0"/>
        <w:adjustRightInd w:val="0"/>
        <w:spacing w:after="0" w:line="240" w:lineRule="auto"/>
        <w:ind w:left="720" w:firstLine="153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3E168B">
        <w:rPr>
          <w:rFonts w:ascii="Times New Roman" w:hAnsi="Times New Roman" w:cs="Times New Roman"/>
          <w:sz w:val="24"/>
          <w:szCs w:val="24"/>
        </w:rPr>
        <w:t>a statement that the corporation is in the process of dissolving;</w:t>
      </w:r>
    </w:p>
    <w:p w:rsidR="00B13E42" w:rsidRDefault="00B13E42" w:rsidP="00B13E42">
      <w:pPr>
        <w:autoSpaceDE w:val="0"/>
        <w:autoSpaceDN w:val="0"/>
        <w:adjustRightInd w:val="0"/>
        <w:spacing w:after="0" w:line="240" w:lineRule="auto"/>
        <w:ind w:left="720" w:firstLine="1530"/>
        <w:rPr>
          <w:rFonts w:ascii="Times New Roman" w:hAnsi="Times New Roman" w:cs="Times New Roman"/>
          <w:sz w:val="24"/>
          <w:szCs w:val="24"/>
        </w:rPr>
      </w:pPr>
    </w:p>
    <w:p w:rsidR="00B13E42" w:rsidRDefault="00B13E42" w:rsidP="00B13E42">
      <w:pPr>
        <w:autoSpaceDE w:val="0"/>
        <w:autoSpaceDN w:val="0"/>
        <w:adjustRightInd w:val="0"/>
        <w:spacing w:after="0" w:line="240" w:lineRule="auto"/>
        <w:ind w:left="2880" w:hanging="63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r>
      <w:r w:rsidR="003E168B">
        <w:rPr>
          <w:rFonts w:ascii="Times New Roman" w:hAnsi="Times New Roman" w:cs="Times New Roman"/>
          <w:sz w:val="24"/>
          <w:szCs w:val="24"/>
        </w:rPr>
        <w:t>a statement that the corporation has filed a notice of intent to dissolve with the secretary of state;</w:t>
      </w:r>
    </w:p>
    <w:p w:rsidR="00E40D52" w:rsidRDefault="00E40D52" w:rsidP="00B13E42">
      <w:pPr>
        <w:autoSpaceDE w:val="0"/>
        <w:autoSpaceDN w:val="0"/>
        <w:adjustRightInd w:val="0"/>
        <w:spacing w:after="0" w:line="240" w:lineRule="auto"/>
        <w:ind w:left="2880" w:hanging="630"/>
        <w:rPr>
          <w:rFonts w:ascii="Times New Roman" w:hAnsi="Times New Roman" w:cs="Times New Roman"/>
          <w:sz w:val="24"/>
          <w:szCs w:val="24"/>
        </w:rPr>
      </w:pPr>
    </w:p>
    <w:p w:rsidR="00B13E42" w:rsidRDefault="00B13E42" w:rsidP="00B13E42">
      <w:pPr>
        <w:autoSpaceDE w:val="0"/>
        <w:autoSpaceDN w:val="0"/>
        <w:adjustRightInd w:val="0"/>
        <w:spacing w:after="0" w:line="240" w:lineRule="auto"/>
        <w:ind w:left="2880" w:hanging="63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t</w:t>
      </w:r>
      <w:r w:rsidR="003E168B">
        <w:rPr>
          <w:rFonts w:ascii="Times New Roman" w:hAnsi="Times New Roman" w:cs="Times New Roman"/>
          <w:sz w:val="24"/>
          <w:szCs w:val="24"/>
        </w:rPr>
        <w:t>he date of filing the notice of intent to dissolve;</w:t>
      </w:r>
      <w:r>
        <w:rPr>
          <w:rFonts w:ascii="Times New Roman" w:hAnsi="Times New Roman" w:cs="Times New Roman"/>
          <w:sz w:val="24"/>
          <w:szCs w:val="24"/>
        </w:rPr>
        <w:t xml:space="preserve"> </w:t>
      </w:r>
    </w:p>
    <w:p w:rsidR="00B13E42" w:rsidRDefault="00B13E42" w:rsidP="00B13E42">
      <w:pPr>
        <w:autoSpaceDE w:val="0"/>
        <w:autoSpaceDN w:val="0"/>
        <w:adjustRightInd w:val="0"/>
        <w:spacing w:after="0" w:line="240" w:lineRule="auto"/>
        <w:ind w:left="2880" w:hanging="630"/>
        <w:rPr>
          <w:rFonts w:ascii="Times New Roman" w:hAnsi="Times New Roman" w:cs="Times New Roman"/>
          <w:sz w:val="24"/>
          <w:szCs w:val="24"/>
        </w:rPr>
      </w:pPr>
    </w:p>
    <w:p w:rsidR="00B13E42" w:rsidRDefault="003E168B" w:rsidP="00E40D52">
      <w:pPr>
        <w:pStyle w:val="ListParagraph"/>
        <w:numPr>
          <w:ilvl w:val="0"/>
          <w:numId w:val="21"/>
        </w:numPr>
        <w:autoSpaceDE w:val="0"/>
        <w:autoSpaceDN w:val="0"/>
        <w:adjustRightInd w:val="0"/>
        <w:spacing w:after="0" w:line="240" w:lineRule="auto"/>
        <w:ind w:left="2880" w:hanging="720"/>
        <w:rPr>
          <w:rFonts w:ascii="Times New Roman" w:hAnsi="Times New Roman" w:cs="Times New Roman"/>
          <w:sz w:val="24"/>
          <w:szCs w:val="24"/>
        </w:rPr>
      </w:pPr>
      <w:r w:rsidRPr="00B13E42">
        <w:rPr>
          <w:rFonts w:ascii="Times New Roman" w:hAnsi="Times New Roman" w:cs="Times New Roman"/>
          <w:sz w:val="24"/>
          <w:szCs w:val="24"/>
        </w:rPr>
        <w:t xml:space="preserve">the address of the office to which written claims against the </w:t>
      </w:r>
      <w:r w:rsidR="00E40D52">
        <w:rPr>
          <w:rFonts w:ascii="Times New Roman" w:hAnsi="Times New Roman" w:cs="Times New Roman"/>
          <w:sz w:val="24"/>
          <w:szCs w:val="24"/>
        </w:rPr>
        <w:t xml:space="preserve">   co</w:t>
      </w:r>
      <w:r w:rsidRPr="00B13E42">
        <w:rPr>
          <w:rFonts w:ascii="Times New Roman" w:hAnsi="Times New Roman" w:cs="Times New Roman"/>
          <w:sz w:val="24"/>
          <w:szCs w:val="24"/>
        </w:rPr>
        <w:t>rporation must be</w:t>
      </w:r>
      <w:r w:rsidR="00B13E42" w:rsidRPr="00B13E42">
        <w:rPr>
          <w:rFonts w:ascii="Times New Roman" w:hAnsi="Times New Roman" w:cs="Times New Roman"/>
          <w:sz w:val="24"/>
          <w:szCs w:val="24"/>
        </w:rPr>
        <w:t xml:space="preserve">  </w:t>
      </w:r>
      <w:r w:rsidRPr="00B13E42">
        <w:rPr>
          <w:rFonts w:ascii="Times New Roman" w:hAnsi="Times New Roman" w:cs="Times New Roman"/>
          <w:sz w:val="24"/>
          <w:szCs w:val="24"/>
        </w:rPr>
        <w:t>presented; and</w:t>
      </w:r>
    </w:p>
    <w:p w:rsidR="00B13E42" w:rsidRDefault="00B13E42" w:rsidP="00B13E42">
      <w:pPr>
        <w:autoSpaceDE w:val="0"/>
        <w:autoSpaceDN w:val="0"/>
        <w:adjustRightInd w:val="0"/>
        <w:spacing w:after="0" w:line="240" w:lineRule="auto"/>
        <w:ind w:left="1440" w:firstLine="720"/>
        <w:rPr>
          <w:rFonts w:ascii="Times New Roman" w:hAnsi="Times New Roman" w:cs="Times New Roman"/>
          <w:sz w:val="24"/>
          <w:szCs w:val="24"/>
        </w:rPr>
      </w:pPr>
    </w:p>
    <w:p w:rsidR="003E168B" w:rsidRPr="00B13E42" w:rsidRDefault="003E168B" w:rsidP="00E40D52">
      <w:pPr>
        <w:pStyle w:val="ListParagraph"/>
        <w:numPr>
          <w:ilvl w:val="0"/>
          <w:numId w:val="21"/>
        </w:numPr>
        <w:autoSpaceDE w:val="0"/>
        <w:autoSpaceDN w:val="0"/>
        <w:adjustRightInd w:val="0"/>
        <w:spacing w:after="0" w:line="240" w:lineRule="auto"/>
        <w:ind w:left="2880" w:hanging="720"/>
        <w:rPr>
          <w:rFonts w:ascii="Times New Roman" w:hAnsi="Times New Roman" w:cs="Times New Roman"/>
          <w:sz w:val="24"/>
          <w:szCs w:val="24"/>
        </w:rPr>
      </w:pPr>
      <w:r w:rsidRPr="00B13E42">
        <w:rPr>
          <w:rFonts w:ascii="Times New Roman" w:hAnsi="Times New Roman" w:cs="Times New Roman"/>
          <w:sz w:val="24"/>
          <w:szCs w:val="24"/>
        </w:rPr>
        <w:t>the date by which the claims must be received, which is the later of 90 days after</w:t>
      </w:r>
      <w:r w:rsidR="00B13E42" w:rsidRPr="00B13E42">
        <w:rPr>
          <w:rFonts w:ascii="Times New Roman" w:hAnsi="Times New Roman" w:cs="Times New Roman"/>
          <w:sz w:val="24"/>
          <w:szCs w:val="24"/>
        </w:rPr>
        <w:t xml:space="preserve"> </w:t>
      </w:r>
      <w:r w:rsidRPr="00B13E42">
        <w:rPr>
          <w:rFonts w:ascii="Times New Roman" w:hAnsi="Times New Roman" w:cs="Times New Roman"/>
          <w:sz w:val="24"/>
          <w:szCs w:val="24"/>
        </w:rPr>
        <w:t>published notice or, with respect to a particular known creditor or claimant, 90 days after the date on which written notice is given to that creditor or claimant. Published notice is considered given on the date of first publication for determining this date.</w:t>
      </w:r>
    </w:p>
    <w:p w:rsidR="003E168B" w:rsidRDefault="003E168B" w:rsidP="00E40D52">
      <w:pPr>
        <w:pStyle w:val="ListParagraph"/>
        <w:ind w:left="2880" w:hanging="720"/>
        <w:rPr>
          <w:rFonts w:ascii="Times New Roman" w:hAnsi="Times New Roman" w:cs="Times New Roman"/>
          <w:sz w:val="24"/>
          <w:szCs w:val="24"/>
        </w:rPr>
      </w:pPr>
    </w:p>
    <w:p w:rsidR="00E40D52" w:rsidRDefault="00E40D52" w:rsidP="00E40D52">
      <w:pPr>
        <w:pStyle w:val="ListParagraph"/>
        <w:numPr>
          <w:ilvl w:val="0"/>
          <w:numId w:val="1"/>
        </w:numPr>
        <w:ind w:left="720" w:hanging="720"/>
        <w:rPr>
          <w:rFonts w:ascii="Times New Roman" w:hAnsi="Times New Roman" w:cs="Times New Roman"/>
          <w:sz w:val="24"/>
          <w:szCs w:val="24"/>
        </w:rPr>
      </w:pPr>
      <w:r w:rsidRPr="00E40D52">
        <w:rPr>
          <w:rFonts w:ascii="Times New Roman" w:hAnsi="Times New Roman" w:cs="Times New Roman"/>
          <w:b/>
          <w:sz w:val="24"/>
          <w:szCs w:val="24"/>
        </w:rPr>
        <w:t>DISTRIBUTION OF ASSETS.</w:t>
      </w:r>
      <w:r w:rsidRPr="00E40D52">
        <w:rPr>
          <w:rFonts w:ascii="Times New Roman" w:hAnsi="Times New Roman" w:cs="Times New Roman"/>
          <w:sz w:val="24"/>
          <w:szCs w:val="24"/>
        </w:rPr>
        <w:t xml:space="preserve">  </w:t>
      </w:r>
    </w:p>
    <w:p w:rsidR="00E40D52" w:rsidRDefault="00E40D52" w:rsidP="00E40D52">
      <w:pPr>
        <w:pStyle w:val="ListParagraph"/>
        <w:rPr>
          <w:rFonts w:ascii="Times New Roman" w:hAnsi="Times New Roman" w:cs="Times New Roman"/>
          <w:sz w:val="24"/>
          <w:szCs w:val="24"/>
        </w:rPr>
      </w:pPr>
    </w:p>
    <w:p w:rsidR="003E168B" w:rsidRPr="00E40D52" w:rsidRDefault="00E40D52" w:rsidP="00943320">
      <w:pPr>
        <w:pStyle w:val="ListParagraph"/>
        <w:numPr>
          <w:ilvl w:val="0"/>
          <w:numId w:val="10"/>
        </w:numPr>
        <w:autoSpaceDE w:val="0"/>
        <w:autoSpaceDN w:val="0"/>
        <w:adjustRightInd w:val="0"/>
        <w:spacing w:after="0" w:line="240" w:lineRule="auto"/>
        <w:ind w:left="1530" w:hanging="720"/>
        <w:rPr>
          <w:rFonts w:ascii="Times New Roman" w:hAnsi="Times New Roman" w:cs="Times New Roman"/>
          <w:sz w:val="24"/>
          <w:szCs w:val="24"/>
        </w:rPr>
      </w:pPr>
      <w:r w:rsidRPr="00E40D52">
        <w:rPr>
          <w:rFonts w:ascii="Times New Roman" w:hAnsi="Times New Roman" w:cs="Times New Roman"/>
          <w:b/>
          <w:sz w:val="24"/>
          <w:szCs w:val="24"/>
        </w:rPr>
        <w:lastRenderedPageBreak/>
        <w:t>Collecting and paying debts</w:t>
      </w:r>
      <w:r w:rsidRPr="00E40D52">
        <w:rPr>
          <w:rFonts w:ascii="Times New Roman" w:hAnsi="Times New Roman" w:cs="Times New Roman"/>
          <w:sz w:val="24"/>
          <w:szCs w:val="24"/>
        </w:rPr>
        <w:t xml:space="preserve">.  </w:t>
      </w:r>
      <w:r w:rsidR="003E168B" w:rsidRPr="00E40D52">
        <w:rPr>
          <w:rFonts w:ascii="Times New Roman" w:hAnsi="Times New Roman" w:cs="Times New Roman"/>
          <w:sz w:val="24"/>
          <w:szCs w:val="24"/>
        </w:rPr>
        <w:t>After the waiting period has expired and after creditors have been notified</w:t>
      </w:r>
      <w:r w:rsidRPr="00E40D52">
        <w:rPr>
          <w:rFonts w:ascii="Times New Roman" w:hAnsi="Times New Roman" w:cs="Times New Roman"/>
          <w:sz w:val="24"/>
          <w:szCs w:val="24"/>
        </w:rPr>
        <w:t xml:space="preserve"> the wind up committee</w:t>
      </w:r>
      <w:r w:rsidR="003E168B" w:rsidRPr="00E40D52">
        <w:rPr>
          <w:rFonts w:ascii="Times New Roman" w:hAnsi="Times New Roman" w:cs="Times New Roman"/>
          <w:sz w:val="24"/>
          <w:szCs w:val="24"/>
        </w:rPr>
        <w:t xml:space="preserve"> </w:t>
      </w:r>
      <w:r w:rsidRPr="00E40D52">
        <w:rPr>
          <w:rFonts w:ascii="Times New Roman" w:hAnsi="Times New Roman" w:cs="Times New Roman"/>
          <w:sz w:val="24"/>
          <w:szCs w:val="24"/>
        </w:rPr>
        <w:t xml:space="preserve">shall, as soon as is reasonably possible, begin to </w:t>
      </w:r>
      <w:r w:rsidR="003E168B" w:rsidRPr="00E40D52">
        <w:rPr>
          <w:rFonts w:ascii="Times New Roman" w:hAnsi="Times New Roman" w:cs="Times New Roman"/>
          <w:sz w:val="24"/>
          <w:szCs w:val="24"/>
        </w:rPr>
        <w:t xml:space="preserve">make provision for the collection of debts due or owing to the </w:t>
      </w:r>
      <w:r w:rsidRPr="00E40D52">
        <w:rPr>
          <w:rFonts w:ascii="Times New Roman" w:hAnsi="Times New Roman" w:cs="Times New Roman"/>
          <w:sz w:val="24"/>
          <w:szCs w:val="24"/>
        </w:rPr>
        <w:t xml:space="preserve">school </w:t>
      </w:r>
      <w:r w:rsidR="003E168B" w:rsidRPr="00E40D52">
        <w:rPr>
          <w:rFonts w:ascii="Times New Roman" w:hAnsi="Times New Roman" w:cs="Times New Roman"/>
          <w:sz w:val="24"/>
          <w:szCs w:val="24"/>
        </w:rPr>
        <w:t>and</w:t>
      </w:r>
      <w:r w:rsidRPr="00E40D52">
        <w:rPr>
          <w:rFonts w:ascii="Times New Roman" w:hAnsi="Times New Roman" w:cs="Times New Roman"/>
          <w:sz w:val="24"/>
          <w:szCs w:val="24"/>
        </w:rPr>
        <w:t xml:space="preserve"> </w:t>
      </w:r>
      <w:r w:rsidR="003E168B" w:rsidRPr="00E40D52">
        <w:rPr>
          <w:rFonts w:ascii="Times New Roman" w:hAnsi="Times New Roman" w:cs="Times New Roman"/>
          <w:sz w:val="24"/>
          <w:szCs w:val="24"/>
        </w:rPr>
        <w:t>to pay or make provision for the payment of debts, obligations, and liabilities of the corporation according to their priorities</w:t>
      </w:r>
      <w:r>
        <w:rPr>
          <w:rFonts w:ascii="Times New Roman" w:hAnsi="Times New Roman" w:cs="Times New Roman"/>
          <w:sz w:val="24"/>
          <w:szCs w:val="24"/>
        </w:rPr>
        <w:t xml:space="preserve"> under V.B</w:t>
      </w:r>
      <w:r w:rsidR="003E168B" w:rsidRPr="00E40D52">
        <w:rPr>
          <w:rFonts w:ascii="Times New Roman" w:hAnsi="Times New Roman" w:cs="Times New Roman"/>
          <w:sz w:val="24"/>
          <w:szCs w:val="24"/>
        </w:rPr>
        <w:t>.</w:t>
      </w:r>
    </w:p>
    <w:p w:rsidR="003E168B" w:rsidRDefault="003E168B" w:rsidP="003E168B">
      <w:pPr>
        <w:autoSpaceDE w:val="0"/>
        <w:autoSpaceDN w:val="0"/>
        <w:adjustRightInd w:val="0"/>
        <w:spacing w:after="0" w:line="240" w:lineRule="auto"/>
        <w:ind w:left="1170"/>
        <w:rPr>
          <w:rFonts w:ascii="Times New Roman" w:hAnsi="Times New Roman" w:cs="Times New Roman"/>
          <w:sz w:val="24"/>
          <w:szCs w:val="24"/>
        </w:rPr>
      </w:pPr>
    </w:p>
    <w:p w:rsidR="003E168B" w:rsidRDefault="00E36F53" w:rsidP="00943320">
      <w:pPr>
        <w:tabs>
          <w:tab w:val="left" w:pos="360"/>
          <w:tab w:val="left" w:pos="540"/>
          <w:tab w:val="left" w:pos="810"/>
        </w:tabs>
        <w:ind w:left="270" w:firstLine="360"/>
        <w:rPr>
          <w:rFonts w:ascii="Times New Roman" w:hAnsi="Times New Roman" w:cs="Times New Roman"/>
          <w:sz w:val="24"/>
          <w:szCs w:val="24"/>
        </w:rPr>
      </w:pPr>
      <w:r>
        <w:rPr>
          <w:rFonts w:ascii="Times New Roman" w:hAnsi="Times New Roman" w:cs="Times New Roman"/>
          <w:b/>
          <w:sz w:val="24"/>
          <w:szCs w:val="24"/>
        </w:rPr>
        <w:tab/>
      </w:r>
      <w:r w:rsidR="00E40D52">
        <w:rPr>
          <w:rFonts w:ascii="Times New Roman" w:hAnsi="Times New Roman" w:cs="Times New Roman"/>
          <w:b/>
          <w:sz w:val="24"/>
          <w:szCs w:val="24"/>
        </w:rPr>
        <w:t xml:space="preserve">B. </w:t>
      </w:r>
      <w:r w:rsidR="00E40D52">
        <w:rPr>
          <w:rFonts w:ascii="Times New Roman" w:hAnsi="Times New Roman" w:cs="Times New Roman"/>
          <w:b/>
          <w:sz w:val="24"/>
          <w:szCs w:val="24"/>
        </w:rPr>
        <w:tab/>
        <w:t xml:space="preserve">Consideration of </w:t>
      </w:r>
      <w:r w:rsidR="003E168B">
        <w:rPr>
          <w:rFonts w:ascii="Times New Roman" w:hAnsi="Times New Roman" w:cs="Times New Roman"/>
          <w:b/>
          <w:sz w:val="24"/>
          <w:szCs w:val="24"/>
        </w:rPr>
        <w:t>creditors’ claims</w:t>
      </w:r>
      <w:r w:rsidR="003E168B">
        <w:t xml:space="preserve">.  </w:t>
      </w:r>
    </w:p>
    <w:p w:rsidR="003E168B" w:rsidRDefault="00E40D52" w:rsidP="00943320">
      <w:pPr>
        <w:ind w:left="1980" w:hanging="540"/>
        <w:rPr>
          <w:rFonts w:ascii="Times New Roman" w:hAnsi="Times New Roman" w:cs="Times New Roman"/>
          <w:sz w:val="24"/>
          <w:szCs w:val="24"/>
        </w:rPr>
      </w:pPr>
      <w:r>
        <w:rPr>
          <w:rFonts w:ascii="Times New Roman" w:hAnsi="Times New Roman" w:cs="Times New Roman"/>
          <w:sz w:val="24"/>
          <w:szCs w:val="24"/>
        </w:rPr>
        <w:t xml:space="preserve">1.     The Board has </w:t>
      </w:r>
      <w:r w:rsidR="003E168B">
        <w:rPr>
          <w:rFonts w:ascii="Times New Roman" w:hAnsi="Times New Roman" w:cs="Times New Roman"/>
          <w:sz w:val="24"/>
          <w:szCs w:val="24"/>
        </w:rPr>
        <w:t xml:space="preserve">30 days from the receipt of each claim filed according to the </w:t>
      </w:r>
      <w:r>
        <w:rPr>
          <w:rFonts w:ascii="Times New Roman" w:hAnsi="Times New Roman" w:cs="Times New Roman"/>
          <w:sz w:val="24"/>
          <w:szCs w:val="24"/>
        </w:rPr>
        <w:t xml:space="preserve">    </w:t>
      </w:r>
      <w:r w:rsidR="003E168B">
        <w:rPr>
          <w:rFonts w:ascii="Times New Roman" w:hAnsi="Times New Roman" w:cs="Times New Roman"/>
          <w:sz w:val="24"/>
          <w:szCs w:val="24"/>
        </w:rPr>
        <w:t xml:space="preserve">procedures set forth by the </w:t>
      </w:r>
      <w:r>
        <w:rPr>
          <w:rFonts w:ascii="Times New Roman" w:hAnsi="Times New Roman" w:cs="Times New Roman"/>
          <w:sz w:val="24"/>
          <w:szCs w:val="24"/>
        </w:rPr>
        <w:t xml:space="preserve">Board </w:t>
      </w:r>
      <w:r w:rsidR="003E168B">
        <w:rPr>
          <w:rFonts w:ascii="Times New Roman" w:hAnsi="Times New Roman" w:cs="Times New Roman"/>
          <w:sz w:val="24"/>
          <w:szCs w:val="24"/>
        </w:rPr>
        <w:t>on or before the date set forth in the notice to accept or reject the claim by giving written notice to the person submitting it, a claim not expressly rejected in this manner is considered accepted; and</w:t>
      </w:r>
    </w:p>
    <w:p w:rsidR="003E168B" w:rsidRDefault="00E36F53" w:rsidP="00943320">
      <w:pPr>
        <w:ind w:left="1890" w:hanging="450"/>
        <w:rPr>
          <w:rFonts w:ascii="Times New Roman" w:hAnsi="Times New Roman" w:cs="Times New Roman"/>
          <w:sz w:val="24"/>
          <w:szCs w:val="24"/>
        </w:rPr>
      </w:pPr>
      <w:r>
        <w:rPr>
          <w:rFonts w:ascii="Times New Roman" w:hAnsi="Times New Roman" w:cs="Times New Roman"/>
          <w:sz w:val="24"/>
          <w:szCs w:val="24"/>
        </w:rPr>
        <w:t xml:space="preserve">2.     If the Board rejects a claim from a creditor that creditor has </w:t>
      </w:r>
      <w:r w:rsidR="003E168B">
        <w:rPr>
          <w:rFonts w:ascii="Times New Roman" w:hAnsi="Times New Roman" w:cs="Times New Roman"/>
          <w:sz w:val="24"/>
          <w:szCs w:val="24"/>
        </w:rPr>
        <w:t xml:space="preserve">60 days from the </w:t>
      </w:r>
      <w:r w:rsidR="00943320">
        <w:rPr>
          <w:rFonts w:ascii="Times New Roman" w:hAnsi="Times New Roman" w:cs="Times New Roman"/>
          <w:sz w:val="24"/>
          <w:szCs w:val="24"/>
        </w:rPr>
        <w:t xml:space="preserve">   </w:t>
      </w:r>
      <w:r w:rsidR="003E168B">
        <w:rPr>
          <w:rFonts w:ascii="Times New Roman" w:hAnsi="Times New Roman" w:cs="Times New Roman"/>
          <w:sz w:val="24"/>
          <w:szCs w:val="24"/>
        </w:rPr>
        <w:t>date of rejection, or 180 days from the date the corporation filed the notice of intent to dissolve with the secretary of state, or 90 days after the date on which notice was given to the creditor or claimant, whichever is longer, to pursue other remedies with respect to the claim”.</w:t>
      </w:r>
    </w:p>
    <w:p w:rsidR="00943320" w:rsidRDefault="00943320" w:rsidP="0070668A">
      <w:pPr>
        <w:ind w:left="1530" w:hanging="810"/>
        <w:rPr>
          <w:rFonts w:ascii="Times New Roman" w:hAnsi="Times New Roman" w:cs="Times New Roman"/>
          <w:b/>
          <w:sz w:val="24"/>
          <w:szCs w:val="24"/>
        </w:rPr>
      </w:pPr>
      <w:r w:rsidRPr="00943320">
        <w:rPr>
          <w:rFonts w:ascii="Times New Roman" w:hAnsi="Times New Roman" w:cs="Times New Roman"/>
          <w:b/>
          <w:sz w:val="24"/>
          <w:szCs w:val="24"/>
        </w:rPr>
        <w:t>C.</w:t>
      </w:r>
      <w:r w:rsidR="0070668A">
        <w:rPr>
          <w:rFonts w:ascii="Times New Roman" w:hAnsi="Times New Roman" w:cs="Times New Roman"/>
          <w:sz w:val="24"/>
          <w:szCs w:val="24"/>
        </w:rPr>
        <w:t xml:space="preserve">     </w:t>
      </w:r>
      <w:r w:rsidR="007A67F4">
        <w:rPr>
          <w:rFonts w:ascii="Times New Roman" w:hAnsi="Times New Roman" w:cs="Times New Roman"/>
          <w:sz w:val="24"/>
          <w:szCs w:val="24"/>
        </w:rPr>
        <w:t xml:space="preserve">    </w:t>
      </w:r>
      <w:r w:rsidR="003E168B">
        <w:rPr>
          <w:rFonts w:ascii="Times New Roman" w:hAnsi="Times New Roman" w:cs="Times New Roman"/>
          <w:b/>
          <w:sz w:val="24"/>
          <w:szCs w:val="24"/>
        </w:rPr>
        <w:t>Closeout of State and Federal Grants.</w:t>
      </w:r>
      <w:r>
        <w:rPr>
          <w:rFonts w:ascii="Times New Roman" w:hAnsi="Times New Roman" w:cs="Times New Roman"/>
          <w:sz w:val="24"/>
          <w:szCs w:val="24"/>
        </w:rPr>
        <w:t xml:space="preserve"> The wind-up committee will ensure that all state and federal grants have been closed out in accordance with guidance </w:t>
      </w:r>
      <w:r>
        <w:rPr>
          <w:rFonts w:ascii="Times New Roman" w:hAnsi="Times New Roman" w:cs="Times New Roman"/>
          <w:sz w:val="24"/>
          <w:szCs w:val="24"/>
        </w:rPr>
        <w:tab/>
      </w:r>
    </w:p>
    <w:p w:rsidR="003E168B" w:rsidRDefault="00943320" w:rsidP="0070668A">
      <w:pPr>
        <w:ind w:left="1440" w:hanging="720"/>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3E168B">
        <w:rPr>
          <w:rFonts w:ascii="Times New Roman" w:hAnsi="Times New Roman" w:cs="Times New Roman"/>
          <w:b/>
          <w:sz w:val="24"/>
          <w:szCs w:val="24"/>
        </w:rPr>
        <w:t>Final Distribution of A</w:t>
      </w:r>
      <w:r>
        <w:rPr>
          <w:rFonts w:ascii="Times New Roman" w:hAnsi="Times New Roman" w:cs="Times New Roman"/>
          <w:b/>
          <w:sz w:val="24"/>
          <w:szCs w:val="24"/>
        </w:rPr>
        <w:t>s</w:t>
      </w:r>
      <w:r w:rsidR="003E168B">
        <w:rPr>
          <w:rFonts w:ascii="Times New Roman" w:hAnsi="Times New Roman" w:cs="Times New Roman"/>
          <w:b/>
          <w:sz w:val="24"/>
          <w:szCs w:val="24"/>
        </w:rPr>
        <w:t>sets</w:t>
      </w:r>
      <w:r w:rsidR="003E168B">
        <w:rPr>
          <w:rFonts w:ascii="Times New Roman" w:hAnsi="Times New Roman" w:cs="Times New Roman"/>
          <w:sz w:val="24"/>
          <w:szCs w:val="24"/>
        </w:rPr>
        <w:t xml:space="preserve">.  </w:t>
      </w:r>
      <w:r>
        <w:rPr>
          <w:rFonts w:ascii="Times New Roman" w:hAnsi="Times New Roman" w:cs="Times New Roman"/>
          <w:sz w:val="24"/>
          <w:szCs w:val="24"/>
        </w:rPr>
        <w:t>The wind-up committee will ensure that any remaining assets are distributed in accordance with the wind-up plan and shall further ensure that any remaining bank accounts are closed and that all credit cards are cancelled.</w:t>
      </w:r>
    </w:p>
    <w:p w:rsidR="003E168B" w:rsidRDefault="003E168B" w:rsidP="003E168B">
      <w:pPr>
        <w:rPr>
          <w:rFonts w:ascii="Times New Roman" w:hAnsi="Times New Roman" w:cs="Times New Roman"/>
          <w:b/>
          <w:sz w:val="24"/>
          <w:szCs w:val="24"/>
        </w:rPr>
      </w:pPr>
    </w:p>
    <w:p w:rsidR="002717B6" w:rsidRDefault="002717B6" w:rsidP="003E168B">
      <w:pPr>
        <w:rPr>
          <w:rFonts w:ascii="Times New Roman" w:hAnsi="Times New Roman" w:cs="Times New Roman"/>
          <w:b/>
          <w:sz w:val="24"/>
          <w:szCs w:val="24"/>
        </w:rPr>
      </w:pPr>
    </w:p>
    <w:p w:rsidR="0070668A" w:rsidRPr="0070668A" w:rsidRDefault="0070668A" w:rsidP="0070668A">
      <w:pPr>
        <w:pStyle w:val="ListParagraph"/>
        <w:numPr>
          <w:ilvl w:val="0"/>
          <w:numId w:val="1"/>
        </w:numPr>
        <w:rPr>
          <w:rFonts w:ascii="Times New Roman" w:hAnsi="Times New Roman" w:cs="Times New Roman"/>
          <w:sz w:val="24"/>
          <w:szCs w:val="24"/>
        </w:rPr>
      </w:pPr>
      <w:r w:rsidRPr="0070668A">
        <w:rPr>
          <w:rFonts w:ascii="Times New Roman" w:hAnsi="Times New Roman" w:cs="Times New Roman"/>
          <w:b/>
          <w:sz w:val="24"/>
          <w:szCs w:val="24"/>
        </w:rPr>
        <w:t>FILING ARTICLES OF DISSOLUTION</w:t>
      </w:r>
      <w:r>
        <w:rPr>
          <w:rFonts w:ascii="Times New Roman" w:hAnsi="Times New Roman" w:cs="Times New Roman"/>
          <w:sz w:val="24"/>
          <w:szCs w:val="24"/>
        </w:rPr>
        <w:t xml:space="preserve"> </w:t>
      </w:r>
      <w:r w:rsidRPr="0070668A">
        <w:rPr>
          <w:rFonts w:ascii="Times New Roman" w:hAnsi="Times New Roman" w:cs="Times New Roman"/>
          <w:b/>
          <w:sz w:val="24"/>
          <w:szCs w:val="24"/>
        </w:rPr>
        <w:t>AND REMAINING WRAP UP.</w:t>
      </w:r>
      <w:r w:rsidR="003E168B" w:rsidRPr="0070668A">
        <w:rPr>
          <w:rFonts w:ascii="Times New Roman" w:hAnsi="Times New Roman" w:cs="Times New Roman"/>
          <w:sz w:val="24"/>
          <w:szCs w:val="24"/>
        </w:rPr>
        <w:t xml:space="preserve">  </w:t>
      </w:r>
    </w:p>
    <w:p w:rsidR="003E168B" w:rsidRPr="0070668A" w:rsidRDefault="0070668A" w:rsidP="0070668A">
      <w:pPr>
        <w:pStyle w:val="ListParagraph"/>
        <w:numPr>
          <w:ilvl w:val="1"/>
          <w:numId w:val="1"/>
        </w:numPr>
        <w:ind w:hanging="720"/>
        <w:rPr>
          <w:rFonts w:ascii="Times New Roman" w:hAnsi="Times New Roman" w:cs="Times New Roman"/>
          <w:sz w:val="24"/>
          <w:szCs w:val="24"/>
        </w:rPr>
      </w:pPr>
      <w:r w:rsidRPr="0070668A">
        <w:rPr>
          <w:rFonts w:ascii="Times New Roman" w:hAnsi="Times New Roman" w:cs="Times New Roman"/>
          <w:b/>
          <w:sz w:val="24"/>
          <w:szCs w:val="24"/>
        </w:rPr>
        <w:t>Articles of Dissolution</w:t>
      </w:r>
      <w:r w:rsidRPr="0070668A">
        <w:rPr>
          <w:rFonts w:ascii="Times New Roman" w:hAnsi="Times New Roman" w:cs="Times New Roman"/>
          <w:sz w:val="24"/>
          <w:szCs w:val="24"/>
        </w:rPr>
        <w:t xml:space="preserve">.  </w:t>
      </w:r>
      <w:r w:rsidR="003E168B" w:rsidRPr="0070668A">
        <w:rPr>
          <w:rFonts w:ascii="Times New Roman" w:hAnsi="Times New Roman" w:cs="Times New Roman"/>
          <w:sz w:val="24"/>
          <w:szCs w:val="24"/>
        </w:rPr>
        <w:t xml:space="preserve">After funds have been distributed according to the Board’s plan, the Board will approve Articles of Dissolution for filing with the Office of the Secretary of State.  </w:t>
      </w:r>
    </w:p>
    <w:p w:rsidR="0070668A" w:rsidRPr="0070668A" w:rsidRDefault="0070668A" w:rsidP="007A67F4">
      <w:pPr>
        <w:ind w:left="1440" w:hanging="720"/>
        <w:rPr>
          <w:rFonts w:ascii="Times New Roman" w:hAnsi="Times New Roman" w:cs="Times New Roman"/>
          <w:sz w:val="24"/>
          <w:szCs w:val="24"/>
        </w:rPr>
      </w:pPr>
      <w:r>
        <w:rPr>
          <w:rFonts w:ascii="Times New Roman" w:hAnsi="Times New Roman" w:cs="Times New Roman"/>
          <w:b/>
          <w:sz w:val="24"/>
          <w:szCs w:val="24"/>
        </w:rPr>
        <w:t>B.</w:t>
      </w:r>
      <w:r w:rsidR="002717B6">
        <w:rPr>
          <w:rFonts w:ascii="Times New Roman" w:hAnsi="Times New Roman" w:cs="Times New Roman"/>
          <w:b/>
          <w:sz w:val="24"/>
          <w:szCs w:val="24"/>
        </w:rPr>
        <w:tab/>
      </w:r>
      <w:r>
        <w:rPr>
          <w:rFonts w:ascii="Times New Roman" w:hAnsi="Times New Roman" w:cs="Times New Roman"/>
          <w:b/>
          <w:sz w:val="24"/>
          <w:szCs w:val="24"/>
        </w:rPr>
        <w:t xml:space="preserve">Reports to Authorizer.  </w:t>
      </w:r>
      <w:r w:rsidRPr="0070668A">
        <w:rPr>
          <w:rFonts w:ascii="Times New Roman" w:hAnsi="Times New Roman" w:cs="Times New Roman"/>
          <w:sz w:val="24"/>
          <w:szCs w:val="24"/>
        </w:rPr>
        <w:t>The wind up committee will ensure that any final statements required by the authorizer are provided.</w:t>
      </w:r>
    </w:p>
    <w:p w:rsidR="0070668A" w:rsidRDefault="002717B6" w:rsidP="002717B6">
      <w:pPr>
        <w:tabs>
          <w:tab w:val="left" w:pos="1350"/>
        </w:tabs>
        <w:spacing w:line="240" w:lineRule="auto"/>
        <w:ind w:left="1350" w:hanging="63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70668A">
        <w:rPr>
          <w:rFonts w:ascii="Times New Roman" w:hAnsi="Times New Roman" w:cs="Times New Roman"/>
          <w:b/>
          <w:sz w:val="24"/>
          <w:szCs w:val="24"/>
        </w:rPr>
        <w:t xml:space="preserve">Audit.  </w:t>
      </w:r>
      <w:r w:rsidR="0070668A" w:rsidRPr="0070668A">
        <w:rPr>
          <w:rFonts w:ascii="Times New Roman" w:hAnsi="Times New Roman" w:cs="Times New Roman"/>
          <w:sz w:val="24"/>
          <w:szCs w:val="24"/>
        </w:rPr>
        <w:t>The wind-up committee will ensure t</w:t>
      </w:r>
      <w:r w:rsidR="0070668A">
        <w:rPr>
          <w:rFonts w:ascii="Times New Roman" w:hAnsi="Times New Roman" w:cs="Times New Roman"/>
          <w:sz w:val="24"/>
          <w:szCs w:val="24"/>
        </w:rPr>
        <w:t>hat a final financial statement</w:t>
      </w:r>
      <w:r w:rsidR="0070668A" w:rsidRPr="0070668A">
        <w:rPr>
          <w:rFonts w:ascii="Times New Roman" w:hAnsi="Times New Roman" w:cs="Times New Roman"/>
          <w:sz w:val="24"/>
          <w:szCs w:val="24"/>
        </w:rPr>
        <w:t xml:space="preserve"> </w:t>
      </w:r>
      <w:r>
        <w:rPr>
          <w:rFonts w:ascii="Times New Roman" w:hAnsi="Times New Roman" w:cs="Times New Roman"/>
          <w:sz w:val="24"/>
          <w:szCs w:val="24"/>
        </w:rPr>
        <w:t>audit prepared and filed.</w:t>
      </w:r>
      <w:r w:rsidR="007A67F4">
        <w:rPr>
          <w:rFonts w:ascii="Times New Roman" w:hAnsi="Times New Roman" w:cs="Times New Roman"/>
          <w:sz w:val="24"/>
          <w:szCs w:val="24"/>
        </w:rPr>
        <w:t xml:space="preserve">                                  </w:t>
      </w:r>
    </w:p>
    <w:p w:rsidR="003E168B" w:rsidRPr="0070668A" w:rsidRDefault="007A67F4" w:rsidP="002717B6">
      <w:pPr>
        <w:tabs>
          <w:tab w:val="left" w:pos="1530"/>
        </w:tabs>
        <w:spacing w:line="240" w:lineRule="auto"/>
        <w:ind w:left="1350" w:hanging="99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717B6">
        <w:rPr>
          <w:rFonts w:ascii="Times New Roman" w:hAnsi="Times New Roman" w:cs="Times New Roman"/>
          <w:b/>
          <w:sz w:val="24"/>
          <w:szCs w:val="24"/>
        </w:rPr>
        <w:t xml:space="preserve">D.     </w:t>
      </w:r>
      <w:r w:rsidR="0070668A">
        <w:rPr>
          <w:rFonts w:ascii="Times New Roman" w:hAnsi="Times New Roman" w:cs="Times New Roman"/>
          <w:b/>
          <w:sz w:val="24"/>
          <w:szCs w:val="24"/>
        </w:rPr>
        <w:t xml:space="preserve">Tax documents.  </w:t>
      </w:r>
      <w:r w:rsidR="0070668A" w:rsidRPr="0070668A">
        <w:rPr>
          <w:rFonts w:ascii="Times New Roman" w:hAnsi="Times New Roman" w:cs="Times New Roman"/>
          <w:sz w:val="24"/>
          <w:szCs w:val="24"/>
        </w:rPr>
        <w:t>The legal representative will ensure that tax documents are</w:t>
      </w:r>
      <w:r w:rsidR="0070668A">
        <w:rPr>
          <w:rFonts w:ascii="Times New Roman" w:hAnsi="Times New Roman" w:cs="Times New Roman"/>
          <w:b/>
          <w:sz w:val="24"/>
          <w:szCs w:val="24"/>
        </w:rPr>
        <w:t xml:space="preserve"> </w:t>
      </w:r>
      <w:r w:rsidR="0070668A" w:rsidRPr="0070668A">
        <w:rPr>
          <w:rFonts w:ascii="Times New Roman" w:hAnsi="Times New Roman" w:cs="Times New Roman"/>
          <w:sz w:val="24"/>
          <w:szCs w:val="24"/>
        </w:rPr>
        <w:t>filed as advised by the school’s accountant or CPA.</w:t>
      </w:r>
      <w:r w:rsidR="003E168B" w:rsidRPr="0070668A">
        <w:rPr>
          <w:rFonts w:ascii="Times New Roman" w:hAnsi="Times New Roman" w:cs="Times New Roman"/>
          <w:sz w:val="24"/>
          <w:szCs w:val="24"/>
        </w:rPr>
        <w:t xml:space="preserve">as advised by the school’s accountant or CPA. </w:t>
      </w:r>
    </w:p>
    <w:p w:rsidR="009C0DAA" w:rsidRPr="0070668A" w:rsidRDefault="009C0DAA" w:rsidP="009C0DAA">
      <w:pPr>
        <w:spacing w:line="23" w:lineRule="atLeast"/>
        <w:jc w:val="both"/>
        <w:rPr>
          <w:rFonts w:ascii="Times New Roman" w:hAnsi="Times New Roman" w:cs="Times New Roman"/>
          <w:sz w:val="24"/>
          <w:szCs w:val="24"/>
        </w:rPr>
      </w:pPr>
    </w:p>
    <w:p w:rsidR="009C0DAA" w:rsidRDefault="009C0DAA" w:rsidP="009C0DAA">
      <w:pPr>
        <w:spacing w:line="23" w:lineRule="atLeast"/>
        <w:jc w:val="both"/>
        <w:rPr>
          <w:rFonts w:ascii="Times New Roman" w:hAnsi="Times New Roman" w:cs="Times New Roman"/>
          <w:b/>
          <w:i/>
          <w:sz w:val="24"/>
          <w:szCs w:val="24"/>
        </w:rPr>
      </w:pPr>
    </w:p>
    <w:p w:rsidR="009C0DAA" w:rsidRDefault="009C0DAA" w:rsidP="009C0DAA">
      <w:pPr>
        <w:spacing w:line="23" w:lineRule="atLeast"/>
        <w:jc w:val="both"/>
        <w:rPr>
          <w:rFonts w:ascii="Times New Roman" w:hAnsi="Times New Roman" w:cs="Times New Roman"/>
          <w:b/>
          <w:i/>
          <w:sz w:val="24"/>
          <w:szCs w:val="24"/>
        </w:rPr>
      </w:pPr>
    </w:p>
    <w:p w:rsidR="009C0DAA" w:rsidRDefault="009C0DAA" w:rsidP="009C0DAA">
      <w:pPr>
        <w:spacing w:line="23" w:lineRule="atLeast"/>
        <w:jc w:val="both"/>
        <w:rPr>
          <w:rFonts w:ascii="Times New Roman" w:hAnsi="Times New Roman" w:cs="Times New Roman"/>
          <w:b/>
          <w:i/>
          <w:sz w:val="24"/>
          <w:szCs w:val="24"/>
        </w:rPr>
      </w:pPr>
    </w:p>
    <w:p w:rsidR="00B13E42" w:rsidRDefault="009C0DAA" w:rsidP="009C0DAA">
      <w:pPr>
        <w:spacing w:line="23" w:lineRule="atLeast"/>
        <w:jc w:val="both"/>
        <w:rPr>
          <w:rFonts w:ascii="Times New Roman" w:hAnsi="Times New Roman" w:cs="Times New Roman"/>
          <w:sz w:val="24"/>
          <w:szCs w:val="24"/>
        </w:rPr>
      </w:pPr>
      <w:r w:rsidRPr="009C0DAA">
        <w:rPr>
          <w:rFonts w:ascii="Times New Roman" w:hAnsi="Times New Roman" w:cs="Times New Roman"/>
          <w:b/>
          <w:i/>
          <w:sz w:val="24"/>
          <w:szCs w:val="24"/>
        </w:rPr>
        <w:t>Legal References</w:t>
      </w:r>
      <w:r w:rsidRPr="009C0DAA">
        <w:rPr>
          <w:rFonts w:ascii="Times New Roman" w:hAnsi="Times New Roman" w:cs="Times New Roman"/>
          <w:b/>
          <w:sz w:val="24"/>
          <w:szCs w:val="24"/>
        </w:rPr>
        <w:t>:</w:t>
      </w:r>
      <w:r w:rsidRPr="009C0DAA">
        <w:rPr>
          <w:rFonts w:ascii="Times New Roman" w:hAnsi="Times New Roman" w:cs="Times New Roman"/>
          <w:sz w:val="24"/>
          <w:szCs w:val="24"/>
        </w:rPr>
        <w:t xml:space="preserve">  </w:t>
      </w:r>
      <w:r w:rsidRPr="009C0DAA">
        <w:rPr>
          <w:rFonts w:ascii="Times New Roman" w:hAnsi="Times New Roman" w:cs="Times New Roman"/>
          <w:sz w:val="24"/>
          <w:szCs w:val="24"/>
        </w:rPr>
        <w:tab/>
        <w:t xml:space="preserve">Minn. Stat. §124D.10, </w:t>
      </w:r>
      <w:proofErr w:type="spellStart"/>
      <w:r w:rsidRPr="009C0DAA">
        <w:rPr>
          <w:rFonts w:ascii="Times New Roman" w:hAnsi="Times New Roman" w:cs="Times New Roman"/>
          <w:sz w:val="24"/>
          <w:szCs w:val="24"/>
        </w:rPr>
        <w:t>subd</w:t>
      </w:r>
      <w:proofErr w:type="spellEnd"/>
      <w:r w:rsidRPr="009C0DAA">
        <w:rPr>
          <w:rFonts w:ascii="Times New Roman" w:hAnsi="Times New Roman" w:cs="Times New Roman"/>
          <w:sz w:val="24"/>
          <w:szCs w:val="24"/>
        </w:rPr>
        <w:t>. 16 (Charter school law)</w:t>
      </w:r>
    </w:p>
    <w:p w:rsidR="009C0DAA" w:rsidRPr="009C0DAA" w:rsidRDefault="00672182" w:rsidP="002717B6">
      <w:pPr>
        <w:tabs>
          <w:tab w:val="left" w:pos="900"/>
        </w:tabs>
        <w:spacing w:line="23" w:lineRule="atLeast"/>
        <w:ind w:left="2160" w:hanging="90"/>
        <w:jc w:val="both"/>
        <w:rPr>
          <w:rFonts w:ascii="Times New Roman" w:hAnsi="Times New Roman" w:cs="Times New Roman"/>
          <w:sz w:val="24"/>
          <w:szCs w:val="24"/>
        </w:rPr>
      </w:pPr>
      <w:r>
        <w:rPr>
          <w:rFonts w:ascii="Times New Roman" w:hAnsi="Times New Roman" w:cs="Times New Roman"/>
          <w:sz w:val="24"/>
          <w:szCs w:val="24"/>
        </w:rPr>
        <w:tab/>
      </w:r>
      <w:r w:rsidR="00B13E42" w:rsidRPr="004505A1">
        <w:rPr>
          <w:rFonts w:ascii="Times New Roman" w:hAnsi="Times New Roman" w:cs="Times New Roman"/>
          <w:sz w:val="24"/>
          <w:szCs w:val="24"/>
        </w:rPr>
        <w:t>Minn. Stat. § 317A.</w:t>
      </w:r>
      <w:r w:rsidR="002717B6">
        <w:rPr>
          <w:rFonts w:ascii="Times New Roman" w:hAnsi="Times New Roman" w:cs="Times New Roman"/>
          <w:sz w:val="24"/>
          <w:szCs w:val="24"/>
        </w:rPr>
        <w:t>711; 723; 725; 727; 729; 733; 735; 811</w:t>
      </w:r>
      <w:r w:rsidR="0070668A">
        <w:rPr>
          <w:rFonts w:ascii="Times New Roman" w:hAnsi="Times New Roman" w:cs="Times New Roman"/>
          <w:sz w:val="24"/>
          <w:szCs w:val="24"/>
        </w:rPr>
        <w:t xml:space="preserve"> (Non-profit law dissolution provisions)</w:t>
      </w:r>
    </w:p>
    <w:p w:rsidR="009C0DAA" w:rsidRDefault="009C0DAA" w:rsidP="009C0DAA">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996E77" w:rsidRDefault="00996E77"/>
    <w:sectPr w:rsidR="00996E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8B" w:rsidRDefault="003E168B" w:rsidP="003E168B">
      <w:pPr>
        <w:spacing w:after="0" w:line="240" w:lineRule="auto"/>
      </w:pPr>
      <w:r>
        <w:separator/>
      </w:r>
    </w:p>
  </w:endnote>
  <w:endnote w:type="continuationSeparator" w:id="0">
    <w:p w:rsidR="003E168B" w:rsidRDefault="003E168B" w:rsidP="003E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30" w:rsidRPr="00187D30" w:rsidRDefault="00187D30">
    <w:pPr>
      <w:pStyle w:val="Footer"/>
      <w:rPr>
        <w:rFonts w:ascii="Times New Roman" w:hAnsi="Times New Roman" w:cs="Times New Roman"/>
      </w:rPr>
    </w:pPr>
    <w:proofErr w:type="spellStart"/>
    <w:r w:rsidRPr="00187D30">
      <w:rPr>
        <w:rFonts w:ascii="Times New Roman" w:hAnsi="Times New Roman" w:cs="Times New Roman"/>
      </w:rPr>
      <w:t>Lavorato</w:t>
    </w:r>
    <w:proofErr w:type="spellEnd"/>
    <w:r w:rsidRPr="00187D30">
      <w:rPr>
        <w:rFonts w:ascii="Times New Roman" w:hAnsi="Times New Roman" w:cs="Times New Roman"/>
      </w:rPr>
      <w:t xml:space="preserve"> Law Offices LLC © 2014</w:t>
    </w:r>
  </w:p>
  <w:p w:rsidR="00187D30" w:rsidRDefault="0018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8B" w:rsidRDefault="003E168B" w:rsidP="003E168B">
      <w:pPr>
        <w:spacing w:after="0" w:line="240" w:lineRule="auto"/>
      </w:pPr>
      <w:r>
        <w:separator/>
      </w:r>
    </w:p>
  </w:footnote>
  <w:footnote w:type="continuationSeparator" w:id="0">
    <w:p w:rsidR="003E168B" w:rsidRDefault="003E168B" w:rsidP="003E1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CD1"/>
    <w:multiLevelType w:val="hybridMultilevel"/>
    <w:tmpl w:val="1B98FFCC"/>
    <w:lvl w:ilvl="0" w:tplc="D612235E">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D4B026D"/>
    <w:multiLevelType w:val="hybridMultilevel"/>
    <w:tmpl w:val="4E62906A"/>
    <w:lvl w:ilvl="0" w:tplc="758A8E44">
      <w:start w:val="2"/>
      <w:numFmt w:val="lowerLetter"/>
      <w:lvlText w:val="%1."/>
      <w:lvlJc w:val="left"/>
      <w:pPr>
        <w:ind w:left="1440" w:hanging="360"/>
      </w:pPr>
      <w:rPr>
        <w:rFonts w:hint="default"/>
      </w:rPr>
    </w:lvl>
    <w:lvl w:ilvl="1" w:tplc="C3204104">
      <w:start w:val="6"/>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732C33"/>
    <w:multiLevelType w:val="hybridMultilevel"/>
    <w:tmpl w:val="4E5C92F8"/>
    <w:lvl w:ilvl="0" w:tplc="F886F35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694EED"/>
    <w:multiLevelType w:val="hybridMultilevel"/>
    <w:tmpl w:val="F184F208"/>
    <w:lvl w:ilvl="0" w:tplc="D120662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B93BF3"/>
    <w:multiLevelType w:val="hybridMultilevel"/>
    <w:tmpl w:val="FB50BAB8"/>
    <w:lvl w:ilvl="0" w:tplc="9E360F3E">
      <w:start w:val="500"/>
      <w:numFmt w:val="upp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31001115"/>
    <w:multiLevelType w:val="hybridMultilevel"/>
    <w:tmpl w:val="19FC2AE2"/>
    <w:lvl w:ilvl="0" w:tplc="571A0500">
      <w:start w:val="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2646F86"/>
    <w:multiLevelType w:val="hybridMultilevel"/>
    <w:tmpl w:val="51161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31D0D50"/>
    <w:multiLevelType w:val="hybridMultilevel"/>
    <w:tmpl w:val="B718B938"/>
    <w:lvl w:ilvl="0" w:tplc="41A84C16">
      <w:start w:val="1"/>
      <w:numFmt w:val="upperRoman"/>
      <w:lvlText w:val="%1."/>
      <w:lvlJc w:val="left"/>
      <w:pPr>
        <w:ind w:left="360" w:hanging="360"/>
      </w:pPr>
      <w:rPr>
        <w:b/>
      </w:rPr>
    </w:lvl>
    <w:lvl w:ilvl="1" w:tplc="11E602FC">
      <w:start w:val="1"/>
      <w:numFmt w:val="upperLetter"/>
      <w:lvlText w:val="%2."/>
      <w:lvlJc w:val="left"/>
      <w:pPr>
        <w:ind w:left="1440" w:hanging="360"/>
      </w:pPr>
      <w:rPr>
        <w:b/>
      </w:rPr>
    </w:lvl>
    <w:lvl w:ilvl="2" w:tplc="2B7A41B8">
      <w:start w:val="1"/>
      <w:numFmt w:val="decimal"/>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2D35C8"/>
    <w:multiLevelType w:val="hybridMultilevel"/>
    <w:tmpl w:val="F39E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55213"/>
    <w:multiLevelType w:val="hybridMultilevel"/>
    <w:tmpl w:val="E1AE91AA"/>
    <w:lvl w:ilvl="0" w:tplc="F886F35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A12BE8"/>
    <w:multiLevelType w:val="hybridMultilevel"/>
    <w:tmpl w:val="8408CAAE"/>
    <w:lvl w:ilvl="0" w:tplc="3E3C113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37827"/>
    <w:multiLevelType w:val="hybridMultilevel"/>
    <w:tmpl w:val="229643B8"/>
    <w:lvl w:ilvl="0" w:tplc="459A7124">
      <w:start w:val="1"/>
      <w:numFmt w:val="decimal"/>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DD615CA"/>
    <w:multiLevelType w:val="hybridMultilevel"/>
    <w:tmpl w:val="E0F6D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E6A41"/>
    <w:multiLevelType w:val="hybridMultilevel"/>
    <w:tmpl w:val="FB1AAC7E"/>
    <w:lvl w:ilvl="0" w:tplc="9928009E">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26129"/>
    <w:multiLevelType w:val="hybridMultilevel"/>
    <w:tmpl w:val="491AE2EE"/>
    <w:lvl w:ilvl="0" w:tplc="0E9009F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38426C"/>
    <w:multiLevelType w:val="hybridMultilevel"/>
    <w:tmpl w:val="7B364664"/>
    <w:lvl w:ilvl="0" w:tplc="D7B838F6">
      <w:start w:val="1"/>
      <w:numFmt w:val="lowerLetter"/>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71A22775"/>
    <w:multiLevelType w:val="hybridMultilevel"/>
    <w:tmpl w:val="603C5882"/>
    <w:lvl w:ilvl="0" w:tplc="15CCA550">
      <w:start w:val="1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749B2B7A"/>
    <w:multiLevelType w:val="hybridMultilevel"/>
    <w:tmpl w:val="4E5C92F8"/>
    <w:lvl w:ilvl="0" w:tplc="F886F35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A209BC"/>
    <w:multiLevelType w:val="hybridMultilevel"/>
    <w:tmpl w:val="E62CC4AA"/>
    <w:lvl w:ilvl="0" w:tplc="2856C99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7B7B6A4C"/>
    <w:multiLevelType w:val="hybridMultilevel"/>
    <w:tmpl w:val="C8E6D35A"/>
    <w:lvl w:ilvl="0" w:tplc="4B846158">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3"/>
  </w:num>
  <w:num w:numId="14">
    <w:abstractNumId w:val="14"/>
  </w:num>
  <w:num w:numId="15">
    <w:abstractNumId w:val="2"/>
  </w:num>
  <w:num w:numId="16">
    <w:abstractNumId w:val="9"/>
  </w:num>
  <w:num w:numId="17">
    <w:abstractNumId w:val="1"/>
  </w:num>
  <w:num w:numId="18">
    <w:abstractNumId w:val="10"/>
  </w:num>
  <w:num w:numId="19">
    <w:abstractNumId w:val="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2"/>
    <w:rsid w:val="00045E32"/>
    <w:rsid w:val="00095B13"/>
    <w:rsid w:val="00135D9B"/>
    <w:rsid w:val="00146F10"/>
    <w:rsid w:val="00187D30"/>
    <w:rsid w:val="002717B6"/>
    <w:rsid w:val="002B07F7"/>
    <w:rsid w:val="00382DD4"/>
    <w:rsid w:val="003E168B"/>
    <w:rsid w:val="0044265D"/>
    <w:rsid w:val="004505A1"/>
    <w:rsid w:val="004F2E0A"/>
    <w:rsid w:val="00553E7E"/>
    <w:rsid w:val="00672182"/>
    <w:rsid w:val="0070668A"/>
    <w:rsid w:val="007A67F4"/>
    <w:rsid w:val="007D19AD"/>
    <w:rsid w:val="00943320"/>
    <w:rsid w:val="00996E77"/>
    <w:rsid w:val="009C0DAA"/>
    <w:rsid w:val="00B01488"/>
    <w:rsid w:val="00B13E42"/>
    <w:rsid w:val="00E223CD"/>
    <w:rsid w:val="00E36F53"/>
    <w:rsid w:val="00E4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AA"/>
    <w:pPr>
      <w:ind w:left="720"/>
      <w:contextualSpacing/>
    </w:pPr>
  </w:style>
  <w:style w:type="paragraph" w:customStyle="1" w:styleId="first">
    <w:name w:val="first"/>
    <w:basedOn w:val="Normal"/>
    <w:rsid w:val="009C0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DAA"/>
    <w:rPr>
      <w:color w:val="0000FF"/>
      <w:u w:val="single"/>
    </w:rPr>
  </w:style>
  <w:style w:type="paragraph" w:styleId="FootnoteText">
    <w:name w:val="footnote text"/>
    <w:basedOn w:val="Normal"/>
    <w:link w:val="FootnoteTextChar"/>
    <w:uiPriority w:val="99"/>
    <w:semiHidden/>
    <w:unhideWhenUsed/>
    <w:rsid w:val="003E1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68B"/>
    <w:rPr>
      <w:sz w:val="20"/>
      <w:szCs w:val="20"/>
    </w:rPr>
  </w:style>
  <w:style w:type="paragraph" w:styleId="BodyTextIndent">
    <w:name w:val="Body Text Indent"/>
    <w:basedOn w:val="Normal"/>
    <w:link w:val="BodyTextIndentChar"/>
    <w:semiHidden/>
    <w:unhideWhenUsed/>
    <w:rsid w:val="003E168B"/>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E168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E168B"/>
    <w:rPr>
      <w:vertAlign w:val="superscript"/>
    </w:rPr>
  </w:style>
  <w:style w:type="paragraph" w:styleId="BalloonText">
    <w:name w:val="Balloon Text"/>
    <w:basedOn w:val="Normal"/>
    <w:link w:val="BalloonTextChar"/>
    <w:uiPriority w:val="99"/>
    <w:semiHidden/>
    <w:unhideWhenUsed/>
    <w:rsid w:val="0009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13"/>
    <w:rPr>
      <w:rFonts w:ascii="Segoe UI" w:hAnsi="Segoe UI" w:cs="Segoe UI"/>
      <w:sz w:val="18"/>
      <w:szCs w:val="18"/>
    </w:rPr>
  </w:style>
  <w:style w:type="paragraph" w:styleId="Header">
    <w:name w:val="header"/>
    <w:basedOn w:val="Normal"/>
    <w:link w:val="HeaderChar"/>
    <w:uiPriority w:val="99"/>
    <w:unhideWhenUsed/>
    <w:rsid w:val="0018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30"/>
  </w:style>
  <w:style w:type="paragraph" w:styleId="Footer">
    <w:name w:val="footer"/>
    <w:basedOn w:val="Normal"/>
    <w:link w:val="FooterChar"/>
    <w:uiPriority w:val="99"/>
    <w:unhideWhenUsed/>
    <w:rsid w:val="0018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AA"/>
    <w:pPr>
      <w:ind w:left="720"/>
      <w:contextualSpacing/>
    </w:pPr>
  </w:style>
  <w:style w:type="paragraph" w:customStyle="1" w:styleId="first">
    <w:name w:val="first"/>
    <w:basedOn w:val="Normal"/>
    <w:rsid w:val="009C0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DAA"/>
    <w:rPr>
      <w:color w:val="0000FF"/>
      <w:u w:val="single"/>
    </w:rPr>
  </w:style>
  <w:style w:type="paragraph" w:styleId="FootnoteText">
    <w:name w:val="footnote text"/>
    <w:basedOn w:val="Normal"/>
    <w:link w:val="FootnoteTextChar"/>
    <w:uiPriority w:val="99"/>
    <w:semiHidden/>
    <w:unhideWhenUsed/>
    <w:rsid w:val="003E16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68B"/>
    <w:rPr>
      <w:sz w:val="20"/>
      <w:szCs w:val="20"/>
    </w:rPr>
  </w:style>
  <w:style w:type="paragraph" w:styleId="BodyTextIndent">
    <w:name w:val="Body Text Indent"/>
    <w:basedOn w:val="Normal"/>
    <w:link w:val="BodyTextIndentChar"/>
    <w:semiHidden/>
    <w:unhideWhenUsed/>
    <w:rsid w:val="003E168B"/>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E168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E168B"/>
    <w:rPr>
      <w:vertAlign w:val="superscript"/>
    </w:rPr>
  </w:style>
  <w:style w:type="paragraph" w:styleId="BalloonText">
    <w:name w:val="Balloon Text"/>
    <w:basedOn w:val="Normal"/>
    <w:link w:val="BalloonTextChar"/>
    <w:uiPriority w:val="99"/>
    <w:semiHidden/>
    <w:unhideWhenUsed/>
    <w:rsid w:val="0009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13"/>
    <w:rPr>
      <w:rFonts w:ascii="Segoe UI" w:hAnsi="Segoe UI" w:cs="Segoe UI"/>
      <w:sz w:val="18"/>
      <w:szCs w:val="18"/>
    </w:rPr>
  </w:style>
  <w:style w:type="paragraph" w:styleId="Header">
    <w:name w:val="header"/>
    <w:basedOn w:val="Normal"/>
    <w:link w:val="HeaderChar"/>
    <w:uiPriority w:val="99"/>
    <w:unhideWhenUsed/>
    <w:rsid w:val="0018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30"/>
  </w:style>
  <w:style w:type="paragraph" w:styleId="Footer">
    <w:name w:val="footer"/>
    <w:basedOn w:val="Normal"/>
    <w:link w:val="FooterChar"/>
    <w:uiPriority w:val="99"/>
    <w:unhideWhenUsed/>
    <w:rsid w:val="0018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7760">
      <w:bodyDiv w:val="1"/>
      <w:marLeft w:val="0"/>
      <w:marRight w:val="0"/>
      <w:marTop w:val="0"/>
      <w:marBottom w:val="0"/>
      <w:divBdr>
        <w:top w:val="none" w:sz="0" w:space="0" w:color="auto"/>
        <w:left w:val="none" w:sz="0" w:space="0" w:color="auto"/>
        <w:bottom w:val="none" w:sz="0" w:space="0" w:color="auto"/>
        <w:right w:val="none" w:sz="0" w:space="0" w:color="auto"/>
      </w:divBdr>
    </w:div>
    <w:div w:id="10995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2</cp:revision>
  <cp:lastPrinted>2014-07-10T17:55:00Z</cp:lastPrinted>
  <dcterms:created xsi:type="dcterms:W3CDTF">2015-06-16T18:25:00Z</dcterms:created>
  <dcterms:modified xsi:type="dcterms:W3CDTF">2015-06-16T18:25:00Z</dcterms:modified>
</cp:coreProperties>
</file>