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78" w:rsidRPr="0031306B" w:rsidRDefault="00A62E78" w:rsidP="00A62E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06B">
        <w:rPr>
          <w:rFonts w:ascii="Times New Roman" w:eastAsia="Calibri" w:hAnsi="Times New Roman" w:cs="Times New Roman"/>
          <w:sz w:val="24"/>
          <w:szCs w:val="24"/>
        </w:rPr>
        <w:t xml:space="preserve">Adopted: </w:t>
      </w:r>
      <w:r w:rsidR="00571DC6">
        <w:rPr>
          <w:rFonts w:ascii="Times New Roman" w:eastAsia="Calibri" w:hAnsi="Times New Roman" w:cs="Times New Roman"/>
          <w:sz w:val="24"/>
          <w:szCs w:val="24"/>
          <w:u w:val="single"/>
        </w:rPr>
        <w:t>6.17.2014</w:t>
      </w:r>
      <w:bookmarkStart w:id="0" w:name="_GoBack"/>
      <w:bookmarkEnd w:id="0"/>
    </w:p>
    <w:p w:rsidR="00A62E78" w:rsidRPr="0031306B" w:rsidRDefault="00A62E78" w:rsidP="00A62E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06B">
        <w:rPr>
          <w:rFonts w:ascii="Times New Roman" w:eastAsia="Calibri" w:hAnsi="Times New Roman" w:cs="Times New Roman"/>
          <w:sz w:val="24"/>
          <w:szCs w:val="24"/>
        </w:rPr>
        <w:t xml:space="preserve">Revised:  </w:t>
      </w:r>
      <w:r w:rsidRPr="0031306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1306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1306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1306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62E78" w:rsidRPr="0031306B" w:rsidRDefault="00A62E78" w:rsidP="00A62E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E78" w:rsidRPr="0031306B" w:rsidRDefault="00A62E78" w:rsidP="00A62E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E78" w:rsidRPr="00E716DC" w:rsidRDefault="002432EC" w:rsidP="00A62E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WATERSHED HIGH SCHOOL</w:t>
      </w:r>
      <w:r w:rsidR="00A62E78" w:rsidRPr="00E716DC">
        <w:rPr>
          <w:rFonts w:ascii="Times New Roman" w:eastAsia="Calibri" w:hAnsi="Times New Roman" w:cs="Times New Roman"/>
          <w:b/>
          <w:sz w:val="28"/>
          <w:szCs w:val="28"/>
        </w:rPr>
        <w:t xml:space="preserve"> POLICY No. 7.11</w:t>
      </w:r>
    </w:p>
    <w:p w:rsidR="00A62E78" w:rsidRPr="00E716DC" w:rsidRDefault="00A62E78" w:rsidP="00A62E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6DC">
        <w:rPr>
          <w:rFonts w:ascii="Times New Roman" w:eastAsia="Calibri" w:hAnsi="Times New Roman" w:cs="Times New Roman"/>
          <w:b/>
          <w:sz w:val="28"/>
          <w:szCs w:val="28"/>
        </w:rPr>
        <w:t>SAFEKEEPING OF INVESTMENTS, CONTRACTS AND AGREEMENTS</w:t>
      </w:r>
    </w:p>
    <w:p w:rsidR="00A62E78" w:rsidRPr="0031306B" w:rsidRDefault="00A62E78" w:rsidP="00A62E78">
      <w:pPr>
        <w:pStyle w:val="ListParagraph"/>
        <w:numPr>
          <w:ilvl w:val="0"/>
          <w:numId w:val="1"/>
        </w:numPr>
        <w:spacing w:before="36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6B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62E78" w:rsidRDefault="00A62E78" w:rsidP="00A62E78">
      <w:pPr>
        <w:pStyle w:val="Default"/>
        <w:spacing w:after="200" w:line="276" w:lineRule="auto"/>
        <w:ind w:left="720"/>
        <w:jc w:val="both"/>
      </w:pPr>
      <w:r w:rsidRPr="0031306B">
        <w:t xml:space="preserve">The purpose of this policy is to </w:t>
      </w:r>
      <w:r>
        <w:t>set for</w:t>
      </w:r>
      <w:r w:rsidR="00E716DC">
        <w:t>th</w:t>
      </w:r>
      <w:r>
        <w:t xml:space="preserve"> the requirements applicable to the safekeeping of the investments, contracts and agreements </w:t>
      </w:r>
      <w:r w:rsidR="00E716DC">
        <w:t xml:space="preserve">of the Board of </w:t>
      </w:r>
      <w:r w:rsidR="002432EC">
        <w:t>WATERSHED HIGH SCHOOL</w:t>
      </w:r>
      <w:r>
        <w:t>.</w:t>
      </w:r>
    </w:p>
    <w:p w:rsidR="00A62E78" w:rsidRPr="00617F56" w:rsidRDefault="00A62E78" w:rsidP="00A62E78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      </w:t>
      </w:r>
      <w:r w:rsidRPr="00617F56">
        <w:rPr>
          <w:rFonts w:ascii="Times New Roman" w:hAnsi="Times New Roman" w:cs="Times New Roman"/>
          <w:b/>
          <w:sz w:val="24"/>
          <w:szCs w:val="24"/>
        </w:rPr>
        <w:t>POLICY</w:t>
      </w:r>
      <w:r w:rsidR="00E716DC">
        <w:rPr>
          <w:rFonts w:ascii="Times New Roman" w:hAnsi="Times New Roman" w:cs="Times New Roman"/>
          <w:b/>
          <w:sz w:val="24"/>
          <w:szCs w:val="24"/>
        </w:rPr>
        <w:t xml:space="preserve"> STATEMENT </w:t>
      </w:r>
    </w:p>
    <w:p w:rsidR="00A62E78" w:rsidRDefault="00A62E78" w:rsidP="00A62E78">
      <w:pPr>
        <w:pStyle w:val="Default"/>
        <w:spacing w:after="200" w:line="276" w:lineRule="auto"/>
        <w:ind w:left="720"/>
        <w:jc w:val="both"/>
      </w:pPr>
      <w:r w:rsidRPr="0031306B">
        <w:t xml:space="preserve">It is the policy of </w:t>
      </w:r>
      <w:r w:rsidR="002432EC">
        <w:t>WATERSHED HIGH SCHOOL</w:t>
      </w:r>
      <w:r w:rsidRPr="0031306B">
        <w:t xml:space="preserve"> to fully comply with state law regarding </w:t>
      </w:r>
      <w:r>
        <w:t xml:space="preserve">the safekeeping of the investments, contracts and agreements. </w:t>
      </w:r>
    </w:p>
    <w:p w:rsidR="00A62E78" w:rsidRDefault="00A62E78" w:rsidP="00E716DC">
      <w:pPr>
        <w:pStyle w:val="Default"/>
        <w:spacing w:before="360" w:after="200" w:line="276" w:lineRule="auto"/>
        <w:ind w:left="720" w:hanging="720"/>
        <w:jc w:val="both"/>
        <w:rPr>
          <w:b/>
        </w:rPr>
      </w:pPr>
      <w:r>
        <w:rPr>
          <w:b/>
        </w:rPr>
        <w:t xml:space="preserve">III.     </w:t>
      </w:r>
      <w:r w:rsidR="00E716DC">
        <w:rPr>
          <w:b/>
        </w:rPr>
        <w:tab/>
      </w:r>
      <w:r>
        <w:rPr>
          <w:b/>
        </w:rPr>
        <w:t>PERMISSABLE PLACES OF SAFEKEEPING</w:t>
      </w:r>
    </w:p>
    <w:p w:rsidR="00A62E78" w:rsidRPr="00A62E78" w:rsidRDefault="00A62E78" w:rsidP="00E716DC">
      <w:pPr>
        <w:pStyle w:val="Default"/>
        <w:tabs>
          <w:tab w:val="left" w:pos="720"/>
          <w:tab w:val="left" w:pos="1080"/>
        </w:tabs>
        <w:spacing w:after="200" w:line="276" w:lineRule="auto"/>
        <w:jc w:val="both"/>
      </w:pPr>
      <w:r>
        <w:rPr>
          <w:b/>
        </w:rPr>
        <w:tab/>
      </w:r>
      <w:r w:rsidRPr="00E716DC">
        <w:t>A.</w:t>
      </w:r>
      <w:r>
        <w:rPr>
          <w:b/>
        </w:rPr>
        <w:t xml:space="preserve">  </w:t>
      </w:r>
      <w:r w:rsidRPr="00A62E78">
        <w:t>Investments, contracts, and agreements may be held in safekeeping with:</w:t>
      </w:r>
    </w:p>
    <w:p w:rsidR="00A62E78" w:rsidRPr="00A62E78" w:rsidRDefault="00E716DC" w:rsidP="00E716DC">
      <w:p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62E78" w:rsidRPr="00A62E78">
        <w:rPr>
          <w:rFonts w:ascii="Times New Roman" w:hAnsi="Times New Roman" w:cs="Times New Roman"/>
          <w:sz w:val="24"/>
          <w:szCs w:val="24"/>
        </w:rPr>
        <w:t xml:space="preserve">ny Federal Reserve </w:t>
      </w:r>
      <w:proofErr w:type="gramStart"/>
      <w:r w:rsidR="00A62E78" w:rsidRPr="00A62E78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="00A62E78" w:rsidRPr="00A62E78">
        <w:rPr>
          <w:rFonts w:ascii="Times New Roman" w:hAnsi="Times New Roman" w:cs="Times New Roman"/>
          <w:sz w:val="24"/>
          <w:szCs w:val="24"/>
        </w:rPr>
        <w:t>;</w:t>
      </w:r>
    </w:p>
    <w:p w:rsidR="00A62E78" w:rsidRPr="00A62E78" w:rsidRDefault="00E716DC" w:rsidP="00E716DC">
      <w:p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2E78" w:rsidRPr="00A6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62E78" w:rsidRPr="00A62E78">
        <w:rPr>
          <w:rFonts w:ascii="Times New Roman" w:hAnsi="Times New Roman" w:cs="Times New Roman"/>
          <w:sz w:val="24"/>
          <w:szCs w:val="24"/>
        </w:rPr>
        <w:t>ny bank authorized under the laws of the United States or any state to exercise corporate</w:t>
      </w:r>
      <w:r w:rsidR="00A62E78">
        <w:rPr>
          <w:rFonts w:ascii="Times New Roman" w:hAnsi="Times New Roman" w:cs="Times New Roman"/>
          <w:sz w:val="24"/>
          <w:szCs w:val="24"/>
        </w:rPr>
        <w:t xml:space="preserve"> </w:t>
      </w:r>
      <w:r w:rsidR="00A62E78" w:rsidRPr="00A62E78">
        <w:rPr>
          <w:rFonts w:ascii="Times New Roman" w:hAnsi="Times New Roman" w:cs="Times New Roman"/>
          <w:sz w:val="24"/>
          <w:szCs w:val="24"/>
        </w:rPr>
        <w:t>trust powers, including, but not limited to, the bank from which the investment is purchased;</w:t>
      </w:r>
    </w:p>
    <w:p w:rsidR="00A62E78" w:rsidRPr="00A62E78" w:rsidRDefault="00E716DC" w:rsidP="00E716DC">
      <w:p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2E78" w:rsidRPr="00A6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62E78" w:rsidRPr="00A62E78">
        <w:rPr>
          <w:rFonts w:ascii="Times New Roman" w:hAnsi="Times New Roman" w:cs="Times New Roman"/>
          <w:sz w:val="24"/>
          <w:szCs w:val="24"/>
        </w:rPr>
        <w:t xml:space="preserve"> primary reporting dealer in United States government securities to the Federal Reserve</w:t>
      </w:r>
      <w:r w:rsidR="00A62E78">
        <w:rPr>
          <w:rFonts w:ascii="Times New Roman" w:hAnsi="Times New Roman" w:cs="Times New Roman"/>
          <w:sz w:val="24"/>
          <w:szCs w:val="24"/>
        </w:rPr>
        <w:t xml:space="preserve"> </w:t>
      </w:r>
      <w:r w:rsidR="00A62E78" w:rsidRPr="00A62E78">
        <w:rPr>
          <w:rFonts w:ascii="Times New Roman" w:hAnsi="Times New Roman" w:cs="Times New Roman"/>
          <w:sz w:val="24"/>
          <w:szCs w:val="24"/>
        </w:rPr>
        <w:t>Bank of New York; or</w:t>
      </w:r>
    </w:p>
    <w:p w:rsidR="00A62E78" w:rsidRPr="00A62E78" w:rsidRDefault="00E716DC" w:rsidP="00E716DC">
      <w:pPr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62E78" w:rsidRPr="00A62E78">
        <w:rPr>
          <w:rFonts w:ascii="Times New Roman" w:hAnsi="Times New Roman" w:cs="Times New Roman"/>
          <w:sz w:val="24"/>
          <w:szCs w:val="24"/>
        </w:rPr>
        <w:t xml:space="preserve"> securities broker-dealer, or an affiliate of it, that meets the following requirements:</w:t>
      </w:r>
      <w:proofErr w:type="gramEnd"/>
    </w:p>
    <w:p w:rsidR="00A62E78" w:rsidRPr="00A62E78" w:rsidRDefault="00E716DC" w:rsidP="00E716DC">
      <w:p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62E78" w:rsidRPr="00A6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A62E78" w:rsidRPr="00A62E78">
        <w:rPr>
          <w:rFonts w:ascii="Times New Roman" w:hAnsi="Times New Roman" w:cs="Times New Roman"/>
          <w:sz w:val="24"/>
          <w:szCs w:val="24"/>
        </w:rPr>
        <w:t>t is regis</w:t>
      </w:r>
      <w:r>
        <w:rPr>
          <w:rFonts w:ascii="Times New Roman" w:hAnsi="Times New Roman" w:cs="Times New Roman"/>
          <w:sz w:val="24"/>
          <w:szCs w:val="24"/>
        </w:rPr>
        <w:t>tered as a broker-dealer under C</w:t>
      </w:r>
      <w:r w:rsidR="00A62E78" w:rsidRPr="00A62E78">
        <w:rPr>
          <w:rFonts w:ascii="Times New Roman" w:hAnsi="Times New Roman" w:cs="Times New Roman"/>
          <w:sz w:val="24"/>
          <w:szCs w:val="24"/>
        </w:rPr>
        <w:t>hapter 80A or is exempt from the registration</w:t>
      </w:r>
      <w:r w:rsidR="00A62E78">
        <w:rPr>
          <w:rFonts w:ascii="Times New Roman" w:hAnsi="Times New Roman" w:cs="Times New Roman"/>
          <w:sz w:val="24"/>
          <w:szCs w:val="24"/>
        </w:rPr>
        <w:t xml:space="preserve"> </w:t>
      </w:r>
      <w:r w:rsidR="00A62E78" w:rsidRPr="00A62E78">
        <w:rPr>
          <w:rFonts w:ascii="Times New Roman" w:hAnsi="Times New Roman" w:cs="Times New Roman"/>
          <w:sz w:val="24"/>
          <w:szCs w:val="24"/>
        </w:rPr>
        <w:t>requirements;</w:t>
      </w:r>
    </w:p>
    <w:p w:rsidR="00A62E78" w:rsidRPr="00A62E78" w:rsidRDefault="00E716DC" w:rsidP="00E716DC">
      <w:p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A62E78" w:rsidRPr="00A62E78">
        <w:rPr>
          <w:rFonts w:ascii="Times New Roman" w:hAnsi="Times New Roman" w:cs="Times New Roman"/>
          <w:sz w:val="24"/>
          <w:szCs w:val="24"/>
        </w:rPr>
        <w:t>t is regulated by the Securities and Exchange Commission; and</w:t>
      </w:r>
    </w:p>
    <w:p w:rsidR="00A62E78" w:rsidRPr="00A62E78" w:rsidRDefault="00E716DC" w:rsidP="00E716DC">
      <w:p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A62E78" w:rsidRPr="00A62E78">
        <w:rPr>
          <w:rFonts w:ascii="Times New Roman" w:hAnsi="Times New Roman" w:cs="Times New Roman"/>
          <w:sz w:val="24"/>
          <w:szCs w:val="24"/>
        </w:rPr>
        <w:t>t maintains insurance through the Securities Investor Protection Corporation or excess</w:t>
      </w:r>
      <w:r w:rsidR="00A62E78">
        <w:rPr>
          <w:rFonts w:ascii="Times New Roman" w:hAnsi="Times New Roman" w:cs="Times New Roman"/>
          <w:sz w:val="24"/>
          <w:szCs w:val="24"/>
        </w:rPr>
        <w:t xml:space="preserve"> </w:t>
      </w:r>
      <w:r w:rsidR="00A62E78" w:rsidRPr="00A62E78">
        <w:rPr>
          <w:rFonts w:ascii="Times New Roman" w:hAnsi="Times New Roman" w:cs="Times New Roman"/>
          <w:sz w:val="24"/>
          <w:szCs w:val="24"/>
        </w:rPr>
        <w:t>insurance coverage in an amount equal to or greater than the value of the securities held.</w:t>
      </w:r>
    </w:p>
    <w:p w:rsidR="00A62E78" w:rsidRPr="00A62E78" w:rsidRDefault="00A62E78" w:rsidP="00E716DC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 </w:t>
      </w:r>
      <w:r w:rsidR="00E716DC">
        <w:rPr>
          <w:rFonts w:ascii="Times New Roman" w:hAnsi="Times New Roman" w:cs="Times New Roman"/>
          <w:sz w:val="24"/>
          <w:szCs w:val="24"/>
        </w:rPr>
        <w:t>Ownership by the B</w:t>
      </w:r>
      <w:r w:rsidRPr="00A62E78">
        <w:rPr>
          <w:rFonts w:ascii="Times New Roman" w:hAnsi="Times New Roman" w:cs="Times New Roman"/>
          <w:sz w:val="24"/>
          <w:szCs w:val="24"/>
        </w:rPr>
        <w:t xml:space="preserve">oard </w:t>
      </w:r>
      <w:proofErr w:type="gramStart"/>
      <w:r w:rsidRPr="00A62E78">
        <w:rPr>
          <w:rFonts w:ascii="Times New Roman" w:hAnsi="Times New Roman" w:cs="Times New Roman"/>
          <w:sz w:val="24"/>
          <w:szCs w:val="24"/>
        </w:rPr>
        <w:t xml:space="preserve">of  </w:t>
      </w:r>
      <w:r w:rsidR="002432EC">
        <w:rPr>
          <w:rFonts w:ascii="Times New Roman" w:hAnsi="Times New Roman" w:cs="Times New Roman"/>
          <w:sz w:val="24"/>
          <w:szCs w:val="24"/>
        </w:rPr>
        <w:t>WATERSHED</w:t>
      </w:r>
      <w:proofErr w:type="gramEnd"/>
      <w:r w:rsidR="002432EC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A62E78">
        <w:rPr>
          <w:rFonts w:ascii="Times New Roman" w:hAnsi="Times New Roman" w:cs="Times New Roman"/>
          <w:sz w:val="24"/>
          <w:szCs w:val="24"/>
        </w:rPr>
        <w:t xml:space="preserve"> of all securities under paragraph III.A must be evidenced by written acknowledgments identifying the securities by the names of the issuers, maturity dates, interest rates, CUSIP number, or other distinguishing marks.</w:t>
      </w:r>
    </w:p>
    <w:p w:rsidR="00A62E78" w:rsidRDefault="00A62E78" w:rsidP="00A62E78">
      <w:pPr>
        <w:pStyle w:val="Default"/>
        <w:spacing w:after="200" w:line="276" w:lineRule="auto"/>
        <w:jc w:val="both"/>
        <w:rPr>
          <w:b/>
          <w:i/>
        </w:rPr>
      </w:pPr>
    </w:p>
    <w:p w:rsidR="00A62E78" w:rsidRPr="0031306B" w:rsidRDefault="00A62E78" w:rsidP="00A62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306B">
        <w:rPr>
          <w:rFonts w:ascii="Times New Roman" w:hAnsi="Times New Roman" w:cs="Times New Roman"/>
          <w:b/>
          <w:i/>
          <w:sz w:val="24"/>
          <w:szCs w:val="24"/>
        </w:rPr>
        <w:t>Legal References:</w:t>
      </w:r>
      <w:r>
        <w:rPr>
          <w:b/>
          <w:i/>
        </w:rPr>
        <w:t xml:space="preserve">  </w:t>
      </w:r>
      <w:r>
        <w:rPr>
          <w:b/>
          <w:i/>
        </w:rPr>
        <w:tab/>
      </w:r>
      <w:r w:rsidR="00E716DC">
        <w:rPr>
          <w:rFonts w:ascii="Times New Roman" w:hAnsi="Times New Roman" w:cs="Times New Roman"/>
          <w:sz w:val="24"/>
          <w:szCs w:val="24"/>
        </w:rPr>
        <w:t>Minn. Stat. §</w:t>
      </w:r>
      <w:r w:rsidRPr="0031306B">
        <w:rPr>
          <w:rFonts w:ascii="Times New Roman" w:hAnsi="Times New Roman" w:cs="Times New Roman"/>
          <w:sz w:val="24"/>
          <w:szCs w:val="24"/>
        </w:rPr>
        <w:t>124D.10</w:t>
      </w:r>
      <w:r>
        <w:rPr>
          <w:rFonts w:ascii="Times New Roman" w:hAnsi="Times New Roman" w:cs="Times New Roman"/>
          <w:sz w:val="24"/>
          <w:szCs w:val="24"/>
        </w:rPr>
        <w:t xml:space="preserve"> (Charter School Law)</w:t>
      </w:r>
    </w:p>
    <w:p w:rsidR="00A62E78" w:rsidRPr="0031306B" w:rsidRDefault="00E716DC" w:rsidP="00A62E78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Minn. Stat. §</w:t>
      </w:r>
      <w:r w:rsidR="00A62E78">
        <w:rPr>
          <w:rFonts w:ascii="Times New Roman" w:hAnsi="Times New Roman" w:cs="Times New Roman"/>
          <w:sz w:val="24"/>
          <w:szCs w:val="24"/>
        </w:rPr>
        <w:t>118A.06 (Safekeeping of Investments, Contracts and Agreements)</w:t>
      </w:r>
    </w:p>
    <w:p w:rsidR="00A62E78" w:rsidRPr="0031306B" w:rsidRDefault="00A62E78" w:rsidP="00A62E7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E78" w:rsidRPr="0031306B" w:rsidRDefault="00A62E78" w:rsidP="00A62E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E78" w:rsidRPr="0031306B" w:rsidRDefault="00A62E78" w:rsidP="00A62E7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E78" w:rsidRPr="0031306B" w:rsidRDefault="00A62E78" w:rsidP="00A62E7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E78" w:rsidRPr="0031306B" w:rsidRDefault="00A62E78" w:rsidP="00A62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E78" w:rsidRPr="0031306B" w:rsidRDefault="00A62E78" w:rsidP="00A62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E78" w:rsidRDefault="00A62E78" w:rsidP="00A62E78"/>
    <w:p w:rsidR="00A62E78" w:rsidRDefault="00A62E78" w:rsidP="00A62E78"/>
    <w:p w:rsidR="00A62E78" w:rsidRDefault="00A62E78" w:rsidP="00A62E78"/>
    <w:p w:rsidR="00A62E78" w:rsidRDefault="00A62E78" w:rsidP="00A62E78"/>
    <w:p w:rsidR="00A62E78" w:rsidRDefault="00A62E78" w:rsidP="00A62E78"/>
    <w:p w:rsidR="00A62E78" w:rsidRDefault="00A62E78" w:rsidP="00A62E78"/>
    <w:p w:rsidR="00A62E78" w:rsidRDefault="00A62E78" w:rsidP="00A62E78"/>
    <w:sectPr w:rsidR="00A62E78" w:rsidSect="00D01B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0A" w:rsidRDefault="0004450A" w:rsidP="00E716DC">
      <w:pPr>
        <w:spacing w:after="0" w:line="240" w:lineRule="auto"/>
      </w:pPr>
      <w:r>
        <w:separator/>
      </w:r>
    </w:p>
  </w:endnote>
  <w:endnote w:type="continuationSeparator" w:id="0">
    <w:p w:rsidR="0004450A" w:rsidRDefault="0004450A" w:rsidP="00E7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DC" w:rsidRPr="00A866EF" w:rsidRDefault="00E716DC" w:rsidP="00E716DC">
    <w:pPr>
      <w:pStyle w:val="Header"/>
      <w:rPr>
        <w:rFonts w:ascii="Times New Roman" w:hAnsi="Times New Roman" w:cs="Times New Roman"/>
        <w:i/>
        <w:color w:val="595959" w:themeColor="text1" w:themeTint="A6"/>
        <w:spacing w:val="-8"/>
      </w:rPr>
    </w:pPr>
    <w:r w:rsidRPr="00A866EF">
      <w:rPr>
        <w:rFonts w:ascii="Times New Roman" w:hAnsi="Times New Roman" w:cs="Times New Roman"/>
        <w:i/>
        <w:color w:val="595959" w:themeColor="text1" w:themeTint="A6"/>
        <w:spacing w:val="-8"/>
      </w:rPr>
      <w:t>This policy does not constitute legal advice; any questions regarding this policy should be directed to your attorney.</w:t>
    </w:r>
  </w:p>
  <w:p w:rsidR="00E716DC" w:rsidRPr="00A866EF" w:rsidRDefault="00E716DC" w:rsidP="00E716DC">
    <w:pPr>
      <w:pStyle w:val="Header"/>
      <w:rPr>
        <w:rFonts w:ascii="Times New Roman" w:hAnsi="Times New Roman" w:cs="Times New Roman"/>
        <w:color w:val="595959" w:themeColor="text1" w:themeTint="A6"/>
        <w:spacing w:val="-8"/>
        <w:sz w:val="6"/>
      </w:rPr>
    </w:pPr>
  </w:p>
  <w:p w:rsidR="00E716DC" w:rsidRPr="00E716DC" w:rsidRDefault="00E716DC" w:rsidP="00E716DC">
    <w:pPr>
      <w:pStyle w:val="Header"/>
      <w:pBdr>
        <w:top w:val="double" w:sz="4" w:space="1" w:color="7F7F7F"/>
      </w:pBdr>
      <w:jc w:val="right"/>
      <w:rPr>
        <w:rFonts w:ascii="Times New Roman" w:hAnsi="Times New Roman" w:cs="Times New Roman"/>
        <w:bCs/>
        <w:color w:val="595959" w:themeColor="text1" w:themeTint="A6"/>
      </w:rPr>
    </w:pPr>
    <w:r w:rsidRPr="00FC13CB">
      <w:rPr>
        <w:rFonts w:ascii="Times New Roman" w:hAnsi="Times New Roman" w:cs="Times New Roman"/>
        <w:color w:val="595959" w:themeColor="text1" w:themeTint="A6"/>
      </w:rPr>
      <w:t xml:space="preserve">Prepared by Booth &amp; Lavorato LLC ♦ </w:t>
    </w:r>
    <w:r w:rsidRPr="00FC13CB">
      <w:rPr>
        <w:rFonts w:ascii="Times New Roman" w:hAnsi="Times New Roman" w:cs="Times New Roman"/>
        <w:i/>
        <w:color w:val="595959" w:themeColor="text1" w:themeTint="A6"/>
      </w:rPr>
      <w:t>www.boothlavoratolaw.com</w:t>
    </w:r>
    <w:r w:rsidRPr="00FC13CB">
      <w:rPr>
        <w:rFonts w:ascii="Times New Roman" w:hAnsi="Times New Roman" w:cs="Times New Roman"/>
        <w:color w:val="595959" w:themeColor="text1" w:themeTint="A6"/>
      </w:rPr>
      <w:t xml:space="preserve"> ♦ 2013</w:t>
    </w:r>
    <w:r w:rsidRPr="00FC13CB">
      <w:rPr>
        <w:rFonts w:ascii="Times New Roman" w:hAnsi="Times New Roman" w:cs="Times New Roman"/>
        <w:color w:val="595959" w:themeColor="text1" w:themeTint="A6"/>
        <w:vertAlign w:val="superscript"/>
      </w:rPr>
      <w:t>©</w:t>
    </w:r>
    <w:r w:rsidRPr="00FC13CB">
      <w:rPr>
        <w:rFonts w:ascii="Times New Roman" w:hAnsi="Times New Roman" w:cs="Times New Roman"/>
        <w:color w:val="595959" w:themeColor="text1" w:themeTint="A6"/>
      </w:rPr>
      <w:tab/>
      <w:t xml:space="preserve">Page </w:t>
    </w:r>
    <w:r w:rsidR="00D01BDB" w:rsidRPr="00FC13CB">
      <w:rPr>
        <w:rFonts w:ascii="Times New Roman" w:hAnsi="Times New Roman" w:cs="Times New Roman"/>
        <w:bCs/>
        <w:color w:val="595959" w:themeColor="text1" w:themeTint="A6"/>
      </w:rPr>
      <w:fldChar w:fldCharType="begin"/>
    </w:r>
    <w:r w:rsidRPr="00FC13CB">
      <w:rPr>
        <w:rFonts w:ascii="Times New Roman" w:hAnsi="Times New Roman" w:cs="Times New Roman"/>
        <w:bCs/>
        <w:color w:val="595959" w:themeColor="text1" w:themeTint="A6"/>
      </w:rPr>
      <w:instrText xml:space="preserve"> PAGE </w:instrText>
    </w:r>
    <w:r w:rsidR="00D01BDB" w:rsidRPr="00FC13CB">
      <w:rPr>
        <w:rFonts w:ascii="Times New Roman" w:hAnsi="Times New Roman" w:cs="Times New Roman"/>
        <w:bCs/>
        <w:color w:val="595959" w:themeColor="text1" w:themeTint="A6"/>
      </w:rPr>
      <w:fldChar w:fldCharType="separate"/>
    </w:r>
    <w:r w:rsidR="00571DC6">
      <w:rPr>
        <w:rFonts w:ascii="Times New Roman" w:hAnsi="Times New Roman" w:cs="Times New Roman"/>
        <w:bCs/>
        <w:noProof/>
        <w:color w:val="595959" w:themeColor="text1" w:themeTint="A6"/>
      </w:rPr>
      <w:t>1</w:t>
    </w:r>
    <w:r w:rsidR="00D01BDB" w:rsidRPr="00FC13CB">
      <w:rPr>
        <w:rFonts w:ascii="Times New Roman" w:hAnsi="Times New Roman" w:cs="Times New Roman"/>
        <w:color w:val="595959" w:themeColor="text1" w:themeTint="A6"/>
      </w:rPr>
      <w:fldChar w:fldCharType="end"/>
    </w:r>
    <w:r w:rsidRPr="00FC13CB">
      <w:rPr>
        <w:rFonts w:ascii="Times New Roman" w:hAnsi="Times New Roman" w:cs="Times New Roman"/>
        <w:color w:val="595959" w:themeColor="text1" w:themeTint="A6"/>
      </w:rPr>
      <w:t xml:space="preserve"> of </w:t>
    </w:r>
    <w:r w:rsidR="00D01BDB" w:rsidRPr="00FC13CB">
      <w:rPr>
        <w:rFonts w:ascii="Times New Roman" w:hAnsi="Times New Roman" w:cs="Times New Roman"/>
        <w:bCs/>
        <w:color w:val="595959" w:themeColor="text1" w:themeTint="A6"/>
      </w:rPr>
      <w:fldChar w:fldCharType="begin"/>
    </w:r>
    <w:r w:rsidRPr="00FC13CB">
      <w:rPr>
        <w:rFonts w:ascii="Times New Roman" w:hAnsi="Times New Roman" w:cs="Times New Roman"/>
        <w:bCs/>
        <w:color w:val="595959" w:themeColor="text1" w:themeTint="A6"/>
      </w:rPr>
      <w:instrText xml:space="preserve"> NUMPAGES  </w:instrText>
    </w:r>
    <w:r w:rsidR="00D01BDB" w:rsidRPr="00FC13CB">
      <w:rPr>
        <w:rFonts w:ascii="Times New Roman" w:hAnsi="Times New Roman" w:cs="Times New Roman"/>
        <w:bCs/>
        <w:color w:val="595959" w:themeColor="text1" w:themeTint="A6"/>
      </w:rPr>
      <w:fldChar w:fldCharType="separate"/>
    </w:r>
    <w:r w:rsidR="00571DC6">
      <w:rPr>
        <w:rFonts w:ascii="Times New Roman" w:hAnsi="Times New Roman" w:cs="Times New Roman"/>
        <w:bCs/>
        <w:noProof/>
        <w:color w:val="595959" w:themeColor="text1" w:themeTint="A6"/>
      </w:rPr>
      <w:t>2</w:t>
    </w:r>
    <w:r w:rsidR="00D01BDB" w:rsidRPr="00FC13CB">
      <w:rPr>
        <w:rFonts w:ascii="Times New Roman" w:hAnsi="Times New Roman" w:cs="Times New Roman"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0A" w:rsidRDefault="0004450A" w:rsidP="00E716DC">
      <w:pPr>
        <w:spacing w:after="0" w:line="240" w:lineRule="auto"/>
      </w:pPr>
      <w:r>
        <w:separator/>
      </w:r>
    </w:p>
  </w:footnote>
  <w:footnote w:type="continuationSeparator" w:id="0">
    <w:p w:rsidR="0004450A" w:rsidRDefault="0004450A" w:rsidP="00E7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6683"/>
    <w:multiLevelType w:val="hybridMultilevel"/>
    <w:tmpl w:val="5F12939E"/>
    <w:lvl w:ilvl="0" w:tplc="41A84C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CE"/>
    <w:rsid w:val="0004450A"/>
    <w:rsid w:val="002432EC"/>
    <w:rsid w:val="003356CE"/>
    <w:rsid w:val="003A048A"/>
    <w:rsid w:val="00433480"/>
    <w:rsid w:val="00571DC6"/>
    <w:rsid w:val="00A62E78"/>
    <w:rsid w:val="00D01BDB"/>
    <w:rsid w:val="00D32372"/>
    <w:rsid w:val="00E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78"/>
    <w:pPr>
      <w:ind w:left="720"/>
      <w:contextualSpacing/>
    </w:pPr>
  </w:style>
  <w:style w:type="paragraph" w:customStyle="1" w:styleId="Default">
    <w:name w:val="Default"/>
    <w:rsid w:val="00A6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62E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DC"/>
  </w:style>
  <w:style w:type="paragraph" w:styleId="Footer">
    <w:name w:val="footer"/>
    <w:basedOn w:val="Normal"/>
    <w:link w:val="FooterChar"/>
    <w:uiPriority w:val="99"/>
    <w:unhideWhenUsed/>
    <w:rsid w:val="00E7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DC"/>
  </w:style>
  <w:style w:type="paragraph" w:styleId="BalloonText">
    <w:name w:val="Balloon Text"/>
    <w:basedOn w:val="Normal"/>
    <w:link w:val="BalloonTextChar"/>
    <w:uiPriority w:val="99"/>
    <w:semiHidden/>
    <w:unhideWhenUsed/>
    <w:rsid w:val="003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78"/>
    <w:pPr>
      <w:ind w:left="720"/>
      <w:contextualSpacing/>
    </w:pPr>
  </w:style>
  <w:style w:type="paragraph" w:customStyle="1" w:styleId="Default">
    <w:name w:val="Default"/>
    <w:rsid w:val="00A6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62E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DC"/>
  </w:style>
  <w:style w:type="paragraph" w:styleId="Footer">
    <w:name w:val="footer"/>
    <w:basedOn w:val="Normal"/>
    <w:link w:val="FooterChar"/>
    <w:uiPriority w:val="99"/>
    <w:unhideWhenUsed/>
    <w:rsid w:val="00E7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DC"/>
  </w:style>
  <w:style w:type="paragraph" w:styleId="BalloonText">
    <w:name w:val="Balloon Text"/>
    <w:basedOn w:val="Normal"/>
    <w:link w:val="BalloonTextChar"/>
    <w:uiPriority w:val="99"/>
    <w:semiHidden/>
    <w:unhideWhenUsed/>
    <w:rsid w:val="003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Liz Heyer</cp:lastModifiedBy>
  <cp:revision>4</cp:revision>
  <cp:lastPrinted>2014-09-16T19:16:00Z</cp:lastPrinted>
  <dcterms:created xsi:type="dcterms:W3CDTF">2014-05-19T20:46:00Z</dcterms:created>
  <dcterms:modified xsi:type="dcterms:W3CDTF">2014-09-16T19:16:00Z</dcterms:modified>
</cp:coreProperties>
</file>