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rPr>
      </w:pPr>
      <w:r w:rsidDel="00000000" w:rsidR="00000000" w:rsidRPr="00000000">
        <w:rPr>
          <w:rFonts w:ascii="Calibri" w:cs="Calibri" w:eastAsia="Calibri" w:hAnsi="Calibri"/>
          <w:rtl w:val="0"/>
        </w:rPr>
        <w:t xml:space="preserve">Adopted: September 2016</w:t>
      </w:r>
    </w:p>
    <w:p w:rsidR="00000000" w:rsidDel="00000000" w:rsidP="00000000" w:rsidRDefault="00000000" w:rsidRPr="00000000" w14:paraId="00000002">
      <w:pPr>
        <w:rPr/>
      </w:pPr>
      <w:r w:rsidDel="00000000" w:rsidR="00000000" w:rsidRPr="00000000">
        <w:rPr>
          <w:rFonts w:ascii="Calibri" w:cs="Calibri" w:eastAsia="Calibri" w:hAnsi="Calibri"/>
          <w:rtl w:val="0"/>
        </w:rPr>
        <w:t xml:space="preserve">Reviewed: </w:t>
      </w:r>
      <w:r w:rsidDel="00000000" w:rsidR="00000000" w:rsidRPr="00000000">
        <w:rPr>
          <w:rtl w:val="0"/>
        </w:rPr>
        <w:t xml:space="preserve">August 2017</w:t>
      </w:r>
    </w:p>
    <w:p w:rsidR="00000000" w:rsidDel="00000000" w:rsidP="00000000" w:rsidRDefault="00000000" w:rsidRPr="00000000" w14:paraId="00000003">
      <w:pPr>
        <w:rPr/>
      </w:pPr>
      <w:r w:rsidDel="00000000" w:rsidR="00000000" w:rsidRPr="00000000">
        <w:rPr>
          <w:rtl w:val="0"/>
        </w:rPr>
        <w:t xml:space="preserve">Renewed: August 2017</w:t>
      </w:r>
    </w:p>
    <w:p w:rsidR="00000000" w:rsidDel="00000000" w:rsidP="00000000" w:rsidRDefault="00000000" w:rsidRPr="00000000" w14:paraId="00000004">
      <w:pPr>
        <w:jc w:val="center"/>
        <w:rPr>
          <w:rFonts w:ascii="Calibri" w:cs="Calibri" w:eastAsia="Calibri" w:hAnsi="Calibri"/>
          <w:b w:val="1"/>
        </w:rPr>
      </w:pPr>
      <w:r w:rsidDel="00000000" w:rsidR="00000000" w:rsidRPr="00000000">
        <w:rPr>
          <w:rFonts w:ascii="Calibri" w:cs="Calibri" w:eastAsia="Calibri" w:hAnsi="Calibri"/>
          <w:b w:val="1"/>
          <w:rtl w:val="0"/>
        </w:rPr>
        <w:t xml:space="preserve">7.10.1 Fund Balance</w:t>
      </w:r>
    </w:p>
    <w:p w:rsidR="00000000" w:rsidDel="00000000" w:rsidP="00000000" w:rsidRDefault="00000000" w:rsidRPr="00000000" w14:paraId="00000005">
      <w:pPr>
        <w:pStyle w:val="Heading1"/>
        <w:numPr>
          <w:ilvl w:val="0"/>
          <w:numId w:val="1"/>
        </w:numPr>
        <w:ind w:left="0" w:firstLine="0"/>
        <w:rPr/>
      </w:pPr>
      <w:r w:rsidDel="00000000" w:rsidR="00000000" w:rsidRPr="00000000">
        <w:rPr>
          <w:rtl w:val="0"/>
        </w:rPr>
        <w:t xml:space="preserve">PURPOSE</w:t>
      </w:r>
    </w:p>
    <w:p w:rsidR="00000000" w:rsidDel="00000000" w:rsidP="00000000" w:rsidRDefault="00000000" w:rsidRPr="00000000" w14:paraId="00000006">
      <w:pPr>
        <w:pStyle w:val="Heading1"/>
        <w:numPr>
          <w:ilvl w:val="0"/>
          <w:numId w:val="1"/>
        </w:numPr>
        <w:ind w:left="0" w:firstLine="0"/>
        <w:rPr/>
      </w:pPr>
      <w:r w:rsidDel="00000000" w:rsidR="00000000" w:rsidRPr="00000000">
        <w:rPr>
          <w:rtl w:val="0"/>
        </w:rPr>
        <w:t xml:space="preserve">GENERAL STATEMENT OF POLICY</w:t>
      </w:r>
    </w:p>
    <w:p w:rsidR="00000000" w:rsidDel="00000000" w:rsidP="00000000" w:rsidRDefault="00000000" w:rsidRPr="00000000" w14:paraId="00000007">
      <w:pPr>
        <w:pStyle w:val="Heading2"/>
        <w:numPr>
          <w:ilvl w:val="1"/>
          <w:numId w:val="1"/>
        </w:numPr>
        <w:tabs>
          <w:tab w:val="left" w:pos="990"/>
        </w:tabs>
        <w:ind w:left="720" w:firstLine="0"/>
        <w:rPr/>
      </w:pPr>
      <w:r w:rsidDel="00000000" w:rsidR="00000000" w:rsidRPr="00000000">
        <w:rPr>
          <w:rtl w:val="0"/>
        </w:rPr>
        <w:t xml:space="preserve">The School Board of Watershed High School recognizes the need to establish a minimum level of unrestricted fund balance (committed, assigned and unassigned) in the general fund (Fund 01) to guard against unanticipated events. The minimum amount in this fund shall be the equivalent of three months’ (25%) operating capital in Fund 01, excluding grants.</w:t>
      </w:r>
    </w:p>
    <w:p w:rsidR="00000000" w:rsidDel="00000000" w:rsidP="00000000" w:rsidRDefault="00000000" w:rsidRPr="00000000" w14:paraId="00000008">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09">
      <w:pPr>
        <w:pStyle w:val="Heading2"/>
        <w:tabs>
          <w:tab w:val="left" w:pos="990"/>
        </w:tabs>
        <w:ind w:left="720" w:firstLine="0"/>
        <w:rPr/>
      </w:pPr>
      <w:r w:rsidDel="00000000" w:rsidR="00000000" w:rsidRPr="00000000">
        <w:rPr>
          <w:rtl w:val="0"/>
        </w:rPr>
        <w:t xml:space="preserve">Unrestricted fund balances in Fund 01 represent resources available to meet any current and future years’ expenditures. This policy shall be implemented incrementally over the next five years to arrive at the minimum by June 30, 2020:</w:t>
      </w:r>
    </w:p>
    <w:p w:rsidR="00000000" w:rsidDel="00000000" w:rsidP="00000000" w:rsidRDefault="00000000" w:rsidRPr="00000000" w14:paraId="0000000A">
      <w:pPr>
        <w:pStyle w:val="Heading3"/>
        <w:numPr>
          <w:ilvl w:val="2"/>
          <w:numId w:val="1"/>
        </w:numPr>
        <w:ind w:left="1440" w:firstLine="0"/>
        <w:rPr/>
      </w:pPr>
      <w:r w:rsidDel="00000000" w:rsidR="00000000" w:rsidRPr="00000000">
        <w:rPr>
          <w:rtl w:val="0"/>
        </w:rPr>
        <w:t xml:space="preserve">5% operating capital in Fund 01, excluding grants, in 2016 FY</w:t>
      </w:r>
    </w:p>
    <w:p w:rsidR="00000000" w:rsidDel="00000000" w:rsidP="00000000" w:rsidRDefault="00000000" w:rsidRPr="00000000" w14:paraId="0000000B">
      <w:pPr>
        <w:pStyle w:val="Heading3"/>
        <w:numPr>
          <w:ilvl w:val="2"/>
          <w:numId w:val="1"/>
        </w:numPr>
        <w:ind w:left="1440" w:firstLine="0"/>
        <w:rPr/>
      </w:pPr>
      <w:r w:rsidDel="00000000" w:rsidR="00000000" w:rsidRPr="00000000">
        <w:rPr>
          <w:rtl w:val="0"/>
        </w:rPr>
        <w:t xml:space="preserve">10% operating capital in Fund 01, excluding grants, in 2017 FY</w:t>
      </w:r>
    </w:p>
    <w:p w:rsidR="00000000" w:rsidDel="00000000" w:rsidP="00000000" w:rsidRDefault="00000000" w:rsidRPr="00000000" w14:paraId="0000000C">
      <w:pPr>
        <w:pStyle w:val="Heading3"/>
        <w:numPr>
          <w:ilvl w:val="2"/>
          <w:numId w:val="1"/>
        </w:numPr>
        <w:ind w:left="1440" w:firstLine="0"/>
        <w:rPr/>
      </w:pPr>
      <w:r w:rsidDel="00000000" w:rsidR="00000000" w:rsidRPr="00000000">
        <w:rPr>
          <w:rtl w:val="0"/>
        </w:rPr>
        <w:t xml:space="preserve">15% operating capital in Fund 01, excluding grants, in 2018 FY</w:t>
      </w:r>
    </w:p>
    <w:p w:rsidR="00000000" w:rsidDel="00000000" w:rsidP="00000000" w:rsidRDefault="00000000" w:rsidRPr="00000000" w14:paraId="0000000D">
      <w:pPr>
        <w:pStyle w:val="Heading3"/>
        <w:numPr>
          <w:ilvl w:val="2"/>
          <w:numId w:val="1"/>
        </w:numPr>
        <w:ind w:left="1440" w:firstLine="0"/>
        <w:rPr/>
      </w:pPr>
      <w:r w:rsidDel="00000000" w:rsidR="00000000" w:rsidRPr="00000000">
        <w:rPr>
          <w:rtl w:val="0"/>
        </w:rPr>
        <w:t xml:space="preserve">20% operating capital in Fund 01, excluding grants, in 2019 FY</w:t>
      </w:r>
    </w:p>
    <w:p w:rsidR="00000000" w:rsidDel="00000000" w:rsidP="00000000" w:rsidRDefault="00000000" w:rsidRPr="00000000" w14:paraId="0000000E">
      <w:pPr>
        <w:pStyle w:val="Heading3"/>
        <w:numPr>
          <w:ilvl w:val="2"/>
          <w:numId w:val="1"/>
        </w:numPr>
        <w:ind w:left="1440" w:firstLine="0"/>
        <w:rPr/>
      </w:pPr>
      <w:r w:rsidDel="00000000" w:rsidR="00000000" w:rsidRPr="00000000">
        <w:rPr>
          <w:rtl w:val="0"/>
        </w:rPr>
        <w:t xml:space="preserve">25% operating capital in Fund 01, excluding grants, in 2020 FY and thereafter</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108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pStyle w:val="Heading1"/>
        <w:numPr>
          <w:ilvl w:val="0"/>
          <w:numId w:val="1"/>
        </w:numPr>
        <w:ind w:left="0" w:firstLine="0"/>
        <w:rPr/>
      </w:pPr>
      <w:r w:rsidDel="00000000" w:rsidR="00000000" w:rsidRPr="00000000">
        <w:rPr>
          <w:rtl w:val="0"/>
        </w:rPr>
        <w:t xml:space="preserve">BOARD ASSURANCES</w:t>
      </w:r>
    </w:p>
    <w:p w:rsidR="00000000" w:rsidDel="00000000" w:rsidP="00000000" w:rsidRDefault="00000000" w:rsidRPr="00000000" w14:paraId="00000011">
      <w:pPr>
        <w:pStyle w:val="Heading2"/>
        <w:numPr>
          <w:ilvl w:val="1"/>
          <w:numId w:val="1"/>
        </w:numPr>
        <w:tabs>
          <w:tab w:val="left" w:pos="990"/>
        </w:tabs>
        <w:ind w:left="720" w:firstLine="0"/>
        <w:rPr/>
      </w:pPr>
      <w:r w:rsidDel="00000000" w:rsidR="00000000" w:rsidRPr="00000000">
        <w:rPr>
          <w:rtl w:val="0"/>
        </w:rPr>
        <w:t xml:space="preserve">If there is a recommended deviation from this policy during the building of any budget in any given year, it may only be approved by a unanimous roll call vote of the Board of Directors. Deviations cannot be in conflict with any statute or prior approved Statutory Operating Debt plan.</w:t>
      </w:r>
    </w:p>
    <w:p w:rsidR="00000000" w:rsidDel="00000000" w:rsidP="00000000" w:rsidRDefault="00000000" w:rsidRPr="00000000" w14:paraId="00000012">
      <w:pPr>
        <w:rPr>
          <w:rFonts w:ascii="Calibri" w:cs="Calibri" w:eastAsia="Calibri" w:hAnsi="Calibri"/>
        </w:rPr>
      </w:pPr>
      <w:r w:rsidDel="00000000" w:rsidR="00000000" w:rsidRPr="00000000">
        <w:rPr>
          <w:rtl w:val="0"/>
        </w:rPr>
      </w:r>
    </w:p>
    <w:p w:rsidR="00000000" w:rsidDel="00000000" w:rsidP="00000000" w:rsidRDefault="00000000" w:rsidRPr="00000000" w14:paraId="00000013">
      <w:pPr>
        <w:rPr>
          <w:rFonts w:ascii="Calibri" w:cs="Calibri" w:eastAsia="Calibri" w:hAnsi="Calibri"/>
        </w:rPr>
      </w:pPr>
      <w:r w:rsidDel="00000000" w:rsidR="00000000" w:rsidRPr="00000000">
        <w:rPr>
          <w:rFonts w:ascii="Calibri" w:cs="Calibri" w:eastAsia="Calibri" w:hAnsi="Calibri"/>
          <w:rtl w:val="0"/>
        </w:rPr>
        <w:t xml:space="preserve">Legal References: </w:t>
      </w:r>
    </w:p>
    <w:p w:rsidR="00000000" w:rsidDel="00000000" w:rsidP="00000000" w:rsidRDefault="00000000" w:rsidRPr="00000000" w14:paraId="00000014">
      <w:pPr>
        <w:rPr>
          <w:rFonts w:ascii="Calibri" w:cs="Calibri" w:eastAsia="Calibri" w:hAnsi="Calibri"/>
        </w:rPr>
      </w:pPr>
      <w:r w:rsidDel="00000000" w:rsidR="00000000" w:rsidRPr="00000000">
        <w:rPr>
          <w:rFonts w:ascii="Calibri" w:cs="Calibri" w:eastAsia="Calibri" w:hAnsi="Calibri"/>
          <w:rtl w:val="0"/>
        </w:rPr>
        <w:t xml:space="preserve">Minn. Stat. 123B.10 (Publication of Financial Information)</w:t>
      </w:r>
    </w:p>
    <w:p w:rsidR="00000000" w:rsidDel="00000000" w:rsidP="00000000" w:rsidRDefault="00000000" w:rsidRPr="00000000" w14:paraId="00000015">
      <w:pPr>
        <w:rPr>
          <w:rFonts w:ascii="Calibri" w:cs="Calibri" w:eastAsia="Calibri" w:hAnsi="Calibri"/>
        </w:rPr>
      </w:pPr>
      <w:r w:rsidDel="00000000" w:rsidR="00000000" w:rsidRPr="00000000">
        <w:rPr>
          <w:rFonts w:ascii="Calibri" w:cs="Calibri" w:eastAsia="Calibri" w:hAnsi="Calibri"/>
          <w:rtl w:val="0"/>
        </w:rPr>
        <w:t xml:space="preserve">Minn. Stat. 123B.77 (Accounting, Budgeting, Reporting)</w:t>
      </w:r>
    </w:p>
    <w:p w:rsidR="00000000" w:rsidDel="00000000" w:rsidP="00000000" w:rsidRDefault="00000000" w:rsidRPr="00000000" w14:paraId="00000016">
      <w:pPr>
        <w:rPr>
          <w:rFonts w:ascii="Calibri" w:cs="Calibri" w:eastAsia="Calibri" w:hAnsi="Calibri"/>
        </w:rPr>
      </w:pPr>
      <w:r w:rsidDel="00000000" w:rsidR="00000000" w:rsidRPr="00000000">
        <w:rPr>
          <w:rFonts w:ascii="Calibri" w:cs="Calibri" w:eastAsia="Calibri" w:hAnsi="Calibri"/>
          <w:rtl w:val="0"/>
        </w:rPr>
        <w:t xml:space="preserve">Minn. Stat. 123B.81 (Statutory Operating Debt)</w:t>
      </w:r>
    </w:p>
    <w:p w:rsidR="00000000" w:rsidDel="00000000" w:rsidP="00000000" w:rsidRDefault="00000000" w:rsidRPr="00000000" w14:paraId="00000017">
      <w:pPr>
        <w:rPr>
          <w:rFonts w:ascii="Calibri" w:cs="Calibri" w:eastAsia="Calibri" w:hAnsi="Calibri"/>
        </w:rPr>
      </w:pPr>
      <w:r w:rsidDel="00000000" w:rsidR="00000000" w:rsidRPr="00000000">
        <w:rPr>
          <w:rFonts w:ascii="Calibri" w:cs="Calibri" w:eastAsia="Calibri" w:hAnsi="Calibri"/>
          <w:rtl w:val="0"/>
        </w:rPr>
        <w:t xml:space="preserve">Minn. Stat. 123B.83 (Expenditure limitations)</w:t>
      </w:r>
    </w:p>
    <w:p w:rsidR="00000000" w:rsidDel="00000000" w:rsidP="00000000" w:rsidRDefault="00000000" w:rsidRPr="00000000" w14:paraId="00000018">
      <w:pPr>
        <w:rPr>
          <w:rFonts w:ascii="Calibri" w:cs="Calibri" w:eastAsia="Calibri" w:hAnsi="Calibri"/>
        </w:rPr>
      </w:pPr>
      <w:r w:rsidDel="00000000" w:rsidR="00000000" w:rsidRPr="00000000">
        <w:rPr>
          <w:rFonts w:ascii="Calibri" w:cs="Calibri" w:eastAsia="Calibri" w:hAnsi="Calibri"/>
          <w:rtl w:val="0"/>
        </w:rPr>
        <w:t xml:space="preserve">Minn. Stat. 124D.111 (Lunch Aid; Food Service Accounting)</w:t>
      </w:r>
    </w:p>
    <w:p w:rsidR="00000000" w:rsidDel="00000000" w:rsidP="00000000" w:rsidRDefault="00000000" w:rsidRPr="00000000" w14:paraId="00000019">
      <w:pPr>
        <w:rPr>
          <w:rFonts w:ascii="Calibri" w:cs="Calibri" w:eastAsia="Calibri" w:hAnsi="Calibri"/>
        </w:rPr>
      </w:pPr>
      <w:r w:rsidDel="00000000" w:rsidR="00000000" w:rsidRPr="00000000">
        <w:rPr>
          <w:rFonts w:ascii="Calibri" w:cs="Calibri" w:eastAsia="Calibri" w:hAnsi="Calibri"/>
          <w:rtl w:val="0"/>
        </w:rPr>
        <w:t xml:space="preserve">Minn. Stat. 124D.10 (Charter Schools)</w:t>
      </w:r>
    </w:p>
    <w:p w:rsidR="00000000" w:rsidDel="00000000" w:rsidP="00000000" w:rsidRDefault="00000000" w:rsidRPr="00000000" w14:paraId="0000001A">
      <w:pPr>
        <w:rPr>
          <w:rFonts w:ascii="Calibri" w:cs="Calibri" w:eastAsia="Calibri" w:hAnsi="Calibri"/>
        </w:rPr>
      </w:pPr>
      <w:r w:rsidDel="00000000" w:rsidR="00000000" w:rsidRPr="00000000">
        <w:rPr>
          <w:rFonts w:ascii="Calibri" w:cs="Calibri" w:eastAsia="Calibri" w:hAnsi="Calibri"/>
          <w:rtl w:val="0"/>
        </w:rPr>
        <w:t xml:space="preserve">Minn. Stat. 126C.01 (Definitions-funding)</w:t>
      </w:r>
    </w:p>
    <w:p w:rsidR="00000000" w:rsidDel="00000000" w:rsidP="00000000" w:rsidRDefault="00000000" w:rsidRPr="00000000" w14:paraId="0000001B">
      <w:pPr>
        <w:rPr>
          <w:rFonts w:ascii="Calibri" w:cs="Calibri" w:eastAsia="Calibri" w:hAnsi="Calibri"/>
        </w:rPr>
      </w:pPr>
      <w:bookmarkStart w:colFirst="0" w:colLast="0" w:name="_gjdgxs" w:id="0"/>
      <w:bookmarkEnd w:id="0"/>
      <w:r w:rsidDel="00000000" w:rsidR="00000000" w:rsidRPr="00000000">
        <w:rPr>
          <w:rFonts w:ascii="Calibri" w:cs="Calibri" w:eastAsia="Calibri" w:hAnsi="Calibri"/>
          <w:rtl w:val="0"/>
        </w:rPr>
        <w:t xml:space="preserve">Minn. Stat. 126C.23 (Allocation of General Education Revenue)  </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0" w:firstLine="0"/>
      </w:pPr>
      <w:rPr/>
    </w:lvl>
    <w:lvl w:ilvl="1">
      <w:start w:val="1"/>
      <w:numFmt w:val="upperLetter"/>
      <w:lvlText w:val="%2."/>
      <w:lvlJc w:val="left"/>
      <w:pPr>
        <w:ind w:left="720" w:firstLine="0"/>
      </w:pPr>
      <w:rPr/>
    </w:lvl>
    <w:lvl w:ilvl="2">
      <w:start w:val="1"/>
      <w:numFmt w:val="decimal"/>
      <w:lvlText w:val="%3."/>
      <w:lvlJc w:val="left"/>
      <w:pPr>
        <w:ind w:left="1440" w:firstLine="0"/>
      </w:pPr>
      <w:rPr/>
    </w:lvl>
    <w:lvl w:ilvl="3">
      <w:start w:val="1"/>
      <w:numFmt w:val="lowerLetter"/>
      <w:lvlText w:val="%4)"/>
      <w:lvlJc w:val="left"/>
      <w:pPr>
        <w:ind w:left="2160" w:firstLine="0"/>
      </w:pPr>
      <w:rPr/>
    </w:lvl>
    <w:lvl w:ilvl="4">
      <w:start w:val="1"/>
      <w:numFmt w:val="decimal"/>
      <w:lvlText w:val="(%5)"/>
      <w:lvlJc w:val="left"/>
      <w:pPr>
        <w:ind w:left="2880" w:firstLine="0"/>
      </w:pPr>
      <w:rPr/>
    </w:lvl>
    <w:lvl w:ilvl="5">
      <w:start w:val="1"/>
      <w:numFmt w:val="lowerLetter"/>
      <w:lvlText w:val="(%6)"/>
      <w:lvlJc w:val="left"/>
      <w:pPr>
        <w:ind w:left="3600" w:firstLine="0"/>
      </w:pPr>
      <w:rPr/>
    </w:lvl>
    <w:lvl w:ilvl="6">
      <w:start w:val="1"/>
      <w:numFmt w:val="lowerRoman"/>
      <w:lvlText w:val="(%7)"/>
      <w:lvlJc w:val="left"/>
      <w:pPr>
        <w:ind w:left="4320" w:firstLine="0"/>
      </w:pPr>
      <w:rPr/>
    </w:lvl>
    <w:lvl w:ilvl="7">
      <w:start w:val="1"/>
      <w:numFmt w:val="lowerLetter"/>
      <w:lvlText w:val="(%8)"/>
      <w:lvlJc w:val="left"/>
      <w:pPr>
        <w:ind w:left="5040" w:firstLine="0"/>
      </w:pPr>
      <w:rPr/>
    </w:lvl>
    <w:lvl w:ilvl="8">
      <w:start w:val="1"/>
      <w:numFmt w:val="lowerRoman"/>
      <w:lvlText w:val="(%9)"/>
      <w:lvlJc w:val="left"/>
      <w:pPr>
        <w:ind w:left="5760" w:firstLine="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ind w:left="0" w:firstLine="0"/>
    </w:pPr>
    <w:rPr>
      <w:rFonts w:ascii="Calibri" w:cs="Calibri" w:eastAsia="Calibri" w:hAnsi="Calibri"/>
    </w:rPr>
  </w:style>
  <w:style w:type="paragraph" w:styleId="Heading2">
    <w:name w:val="heading 2"/>
    <w:basedOn w:val="Normal"/>
    <w:next w:val="Normal"/>
    <w:pPr>
      <w:keepNext w:val="1"/>
      <w:keepLines w:val="1"/>
      <w:tabs>
        <w:tab w:val="left" w:pos="990"/>
      </w:tabs>
      <w:spacing w:after="0" w:before="40" w:lineRule="auto"/>
      <w:ind w:left="720" w:firstLine="0"/>
    </w:pPr>
    <w:rPr>
      <w:rFonts w:ascii="Calibri" w:cs="Calibri" w:eastAsia="Calibri" w:hAnsi="Calibri"/>
    </w:rPr>
  </w:style>
  <w:style w:type="paragraph" w:styleId="Heading3">
    <w:name w:val="heading 3"/>
    <w:basedOn w:val="Normal"/>
    <w:next w:val="Normal"/>
    <w:pPr>
      <w:keepNext w:val="1"/>
      <w:keepLines w:val="1"/>
      <w:spacing w:after="0" w:before="40" w:lineRule="auto"/>
      <w:ind w:left="1080" w:firstLine="0"/>
    </w:pPr>
    <w:rPr>
      <w:rFonts w:ascii="Calibri" w:cs="Calibri" w:eastAsia="Calibri" w:hAnsi="Calibri"/>
    </w:rPr>
  </w:style>
  <w:style w:type="paragraph" w:styleId="Heading4">
    <w:name w:val="heading 4"/>
    <w:basedOn w:val="Normal"/>
    <w:next w:val="Normal"/>
    <w:pPr>
      <w:keepNext w:val="1"/>
      <w:keepLines w:val="1"/>
      <w:spacing w:after="0" w:before="40" w:lineRule="auto"/>
      <w:ind w:left="2160" w:firstLine="0"/>
    </w:pPr>
    <w:rPr>
      <w:rFonts w:ascii="Calibri" w:cs="Calibri" w:eastAsia="Calibri" w:hAnsi="Calibri"/>
      <w:i w:val="1"/>
      <w:color w:val="2e75b5"/>
    </w:rPr>
  </w:style>
  <w:style w:type="paragraph" w:styleId="Heading5">
    <w:name w:val="heading 5"/>
    <w:basedOn w:val="Normal"/>
    <w:next w:val="Normal"/>
    <w:pPr>
      <w:keepNext w:val="1"/>
      <w:keepLines w:val="1"/>
      <w:spacing w:after="0" w:before="40" w:lineRule="auto"/>
      <w:ind w:left="2880" w:firstLine="0"/>
    </w:pPr>
    <w:rPr>
      <w:rFonts w:ascii="Calibri" w:cs="Calibri" w:eastAsia="Calibri" w:hAnsi="Calibri"/>
      <w:color w:val="2e75b5"/>
    </w:rPr>
  </w:style>
  <w:style w:type="paragraph" w:styleId="Heading6">
    <w:name w:val="heading 6"/>
    <w:basedOn w:val="Normal"/>
    <w:next w:val="Normal"/>
    <w:pPr>
      <w:keepNext w:val="1"/>
      <w:keepLines w:val="1"/>
      <w:spacing w:after="0" w:before="40" w:lineRule="auto"/>
      <w:ind w:left="3600" w:firstLine="0"/>
    </w:pPr>
    <w:rPr>
      <w:rFonts w:ascii="Calibri" w:cs="Calibri" w:eastAsia="Calibri" w:hAnsi="Calibri"/>
      <w:color w:val="1e4d78"/>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